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FB" w:rsidRDefault="00DA75E6">
      <w:pPr>
        <w:ind w:firstLine="670"/>
        <w:jc w:val="right"/>
        <w:rPr>
          <w:sz w:val="24"/>
        </w:rPr>
      </w:pPr>
      <w:r>
        <w:rPr>
          <w:sz w:val="24"/>
        </w:rPr>
        <w:t>Утверждено</w:t>
      </w:r>
    </w:p>
    <w:p w:rsidR="00F12BFB" w:rsidRDefault="00DA75E6">
      <w:pPr>
        <w:ind w:firstLine="670"/>
        <w:jc w:val="right"/>
        <w:rPr>
          <w:sz w:val="24"/>
        </w:rPr>
      </w:pPr>
      <w:r>
        <w:rPr>
          <w:sz w:val="24"/>
        </w:rPr>
        <w:t>Постановлением Администрации</w:t>
      </w:r>
    </w:p>
    <w:p w:rsidR="00F12BFB" w:rsidRDefault="00DA75E6">
      <w:pPr>
        <w:ind w:firstLine="670"/>
        <w:jc w:val="right"/>
        <w:rPr>
          <w:sz w:val="24"/>
        </w:rPr>
      </w:pPr>
      <w:proofErr w:type="spellStart"/>
      <w:r>
        <w:rPr>
          <w:sz w:val="24"/>
        </w:rPr>
        <w:t>Конышевского</w:t>
      </w:r>
      <w:proofErr w:type="spellEnd"/>
      <w:r>
        <w:rPr>
          <w:sz w:val="24"/>
        </w:rPr>
        <w:t xml:space="preserve"> района Курской области</w:t>
      </w:r>
    </w:p>
    <w:p w:rsidR="00F12BFB" w:rsidRDefault="007145AA">
      <w:pPr>
        <w:ind w:firstLine="670"/>
        <w:jc w:val="right"/>
        <w:rPr>
          <w:sz w:val="24"/>
        </w:rPr>
      </w:pPr>
      <w:r>
        <w:rPr>
          <w:sz w:val="24"/>
        </w:rPr>
        <w:t>от</w:t>
      </w:r>
      <w:r w:rsidR="001E432B">
        <w:rPr>
          <w:sz w:val="24"/>
        </w:rPr>
        <w:t xml:space="preserve"> 05.02.2025г. №19</w:t>
      </w:r>
      <w:r w:rsidR="00DA75E6">
        <w:rPr>
          <w:sz w:val="24"/>
        </w:rPr>
        <w:t>-па</w:t>
      </w:r>
    </w:p>
    <w:p w:rsidR="00F12BFB" w:rsidRDefault="00F12BFB">
      <w:pPr>
        <w:ind w:firstLine="670"/>
        <w:jc w:val="right"/>
        <w:rPr>
          <w:sz w:val="24"/>
        </w:rPr>
      </w:pPr>
    </w:p>
    <w:p w:rsidR="00A45792" w:rsidRDefault="00A45792">
      <w:pPr>
        <w:ind w:firstLine="670"/>
        <w:jc w:val="right"/>
        <w:rPr>
          <w:sz w:val="24"/>
        </w:rPr>
      </w:pPr>
    </w:p>
    <w:p w:rsidR="00F12BFB" w:rsidRDefault="00DA75E6">
      <w:pPr>
        <w:ind w:firstLine="670"/>
        <w:jc w:val="center"/>
        <w:rPr>
          <w:b/>
          <w:sz w:val="24"/>
        </w:rPr>
      </w:pPr>
      <w:r>
        <w:rPr>
          <w:b/>
          <w:sz w:val="24"/>
        </w:rPr>
        <w:t>Документация об электронном аукционе</w:t>
      </w:r>
    </w:p>
    <w:p w:rsidR="00F12BFB" w:rsidRDefault="00DA75E6">
      <w:pPr>
        <w:ind w:firstLine="670"/>
        <w:jc w:val="center"/>
        <w:rPr>
          <w:b/>
          <w:sz w:val="24"/>
        </w:rPr>
      </w:pPr>
      <w:r>
        <w:rPr>
          <w:b/>
          <w:sz w:val="24"/>
        </w:rPr>
        <w:t xml:space="preserve">на право заключения договора аренды земельного участка, расположенного на территории муниципального </w:t>
      </w:r>
      <w:r w:rsidR="007319FC">
        <w:rPr>
          <w:b/>
          <w:sz w:val="24"/>
        </w:rPr>
        <w:t>образования</w:t>
      </w:r>
      <w:r>
        <w:rPr>
          <w:b/>
          <w:sz w:val="24"/>
        </w:rPr>
        <w:t xml:space="preserve"> «</w:t>
      </w:r>
      <w:proofErr w:type="spellStart"/>
      <w:r>
        <w:rPr>
          <w:b/>
          <w:sz w:val="24"/>
        </w:rPr>
        <w:t>Конышевский</w:t>
      </w:r>
      <w:proofErr w:type="spellEnd"/>
      <w:r w:rsidR="007319FC">
        <w:rPr>
          <w:b/>
          <w:sz w:val="24"/>
        </w:rPr>
        <w:t xml:space="preserve"> муниц</w:t>
      </w:r>
      <w:r w:rsidR="00EC740E">
        <w:rPr>
          <w:b/>
          <w:sz w:val="24"/>
        </w:rPr>
        <w:t>и</w:t>
      </w:r>
      <w:r w:rsidR="007319FC">
        <w:rPr>
          <w:b/>
          <w:sz w:val="24"/>
        </w:rPr>
        <w:t>пальный</w:t>
      </w:r>
      <w:r>
        <w:rPr>
          <w:b/>
          <w:sz w:val="24"/>
        </w:rPr>
        <w:t xml:space="preserve"> район» Курской области</w:t>
      </w:r>
    </w:p>
    <w:p w:rsidR="00F12BFB" w:rsidRDefault="00F12BFB">
      <w:pPr>
        <w:ind w:firstLine="670"/>
        <w:jc w:val="both"/>
        <w:rPr>
          <w:sz w:val="24"/>
        </w:rPr>
      </w:pPr>
    </w:p>
    <w:p w:rsidR="00F12BFB" w:rsidRDefault="00DA75E6">
      <w:pPr>
        <w:ind w:firstLine="670"/>
        <w:jc w:val="both"/>
        <w:rPr>
          <w:sz w:val="24"/>
        </w:rPr>
      </w:pPr>
      <w:proofErr w:type="gramStart"/>
      <w:r>
        <w:rPr>
          <w:b/>
          <w:sz w:val="24"/>
        </w:rPr>
        <w:t xml:space="preserve">Организатор электронного аукциона </w:t>
      </w:r>
      <w:r>
        <w:rPr>
          <w:sz w:val="24"/>
        </w:rPr>
        <w:t xml:space="preserve">– </w:t>
      </w:r>
      <w:r>
        <w:rPr>
          <w:b/>
          <w:sz w:val="24"/>
        </w:rPr>
        <w:t xml:space="preserve">Администрация </w:t>
      </w:r>
      <w:proofErr w:type="spellStart"/>
      <w:r>
        <w:rPr>
          <w:b/>
          <w:sz w:val="24"/>
        </w:rPr>
        <w:t>Конышевского</w:t>
      </w:r>
      <w:proofErr w:type="spellEnd"/>
      <w:r>
        <w:rPr>
          <w:b/>
          <w:sz w:val="24"/>
        </w:rPr>
        <w:t xml:space="preserve"> района Курской области</w:t>
      </w:r>
      <w:r>
        <w:rPr>
          <w:sz w:val="24"/>
        </w:rPr>
        <w:t xml:space="preserve">, юридический и почтовый адрес: 307620, Курская обл., п. </w:t>
      </w:r>
      <w:proofErr w:type="spellStart"/>
      <w:r>
        <w:rPr>
          <w:sz w:val="24"/>
        </w:rPr>
        <w:t>Конышевка</w:t>
      </w:r>
      <w:proofErr w:type="spellEnd"/>
      <w:r>
        <w:rPr>
          <w:sz w:val="24"/>
        </w:rPr>
        <w:t>, ул. Ленина, д. 19, тел. +7(47156)2-13-83</w:t>
      </w:r>
      <w:r>
        <w:rPr>
          <w:spacing w:val="-12"/>
          <w:sz w:val="24"/>
        </w:rPr>
        <w:t xml:space="preserve">, </w:t>
      </w:r>
      <w:r>
        <w:rPr>
          <w:sz w:val="24"/>
        </w:rPr>
        <w:t>извещает о проведении электронного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w:t>
      </w:r>
      <w:bookmarkStart w:id="0" w:name="_GoBack"/>
      <w:bookmarkEnd w:id="0"/>
      <w:r>
        <w:rPr>
          <w:sz w:val="24"/>
        </w:rPr>
        <w:t xml:space="preserve">ципального </w:t>
      </w:r>
      <w:r w:rsidR="007319FC">
        <w:rPr>
          <w:sz w:val="24"/>
        </w:rPr>
        <w:t>образования</w:t>
      </w:r>
      <w:r>
        <w:rPr>
          <w:sz w:val="24"/>
        </w:rPr>
        <w:t xml:space="preserve"> «</w:t>
      </w:r>
      <w:proofErr w:type="spellStart"/>
      <w:r>
        <w:rPr>
          <w:sz w:val="24"/>
        </w:rPr>
        <w:t>Конышевский</w:t>
      </w:r>
      <w:proofErr w:type="spellEnd"/>
      <w:r>
        <w:rPr>
          <w:sz w:val="24"/>
        </w:rPr>
        <w:t xml:space="preserve"> </w:t>
      </w:r>
      <w:r w:rsidR="007319FC">
        <w:rPr>
          <w:sz w:val="24"/>
        </w:rPr>
        <w:t xml:space="preserve">муниципальный </w:t>
      </w:r>
      <w:r>
        <w:rPr>
          <w:sz w:val="24"/>
        </w:rPr>
        <w:t>район» Курской области.</w:t>
      </w:r>
      <w:proofErr w:type="gramEnd"/>
    </w:p>
    <w:p w:rsidR="007319FC" w:rsidRDefault="00DA75E6" w:rsidP="007319FC">
      <w:pPr>
        <w:ind w:firstLine="670"/>
        <w:jc w:val="both"/>
        <w:rPr>
          <w:sz w:val="24"/>
        </w:rPr>
      </w:pPr>
      <w:proofErr w:type="gramStart"/>
      <w:r>
        <w:rPr>
          <w:b/>
          <w:sz w:val="24"/>
        </w:rPr>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Pr>
          <w:sz w:val="24"/>
        </w:rPr>
        <w:t>, юридический и почтовый адрес: 305000, г. Курск, пер. Радищева, д. 1, 3 этаж, офис 307, тел. 8(4712)55-80-25.</w:t>
      </w:r>
      <w:proofErr w:type="gramEnd"/>
      <w:r>
        <w:rPr>
          <w:sz w:val="24"/>
        </w:rPr>
        <w:t xml:space="preserve"> Контактное лицо – </w:t>
      </w:r>
      <w:proofErr w:type="spellStart"/>
      <w:r>
        <w:rPr>
          <w:sz w:val="24"/>
        </w:rPr>
        <w:t>Пущаенко</w:t>
      </w:r>
      <w:proofErr w:type="spellEnd"/>
      <w:r>
        <w:rPr>
          <w:sz w:val="24"/>
        </w:rPr>
        <w:t xml:space="preserve"> Сергей Павлович.</w:t>
      </w:r>
    </w:p>
    <w:p w:rsidR="00F12BFB" w:rsidRDefault="00DA75E6" w:rsidP="007319FC">
      <w:pPr>
        <w:ind w:firstLine="670"/>
        <w:jc w:val="both"/>
        <w:rPr>
          <w:sz w:val="24"/>
        </w:rPr>
      </w:pPr>
      <w:r>
        <w:rPr>
          <w:b/>
          <w:sz w:val="24"/>
        </w:rPr>
        <w:t>Оператор электронной площадки (Оператор) - Акционерное общество «Сбербанк - Автоматизированная система торгов» (АО «Сбербанк-АСТ»)</w:t>
      </w:r>
      <w:r>
        <w:rPr>
          <w:sz w:val="24"/>
        </w:rPr>
        <w:t xml:space="preserve"> (http://utp.sberbank-ast.ru/AP), юридический и почтовый адрес: 119435, г. Москва, Большой Саввинский переулок, д. 12, стр. 9, </w:t>
      </w:r>
      <w:proofErr w:type="spellStart"/>
      <w:r>
        <w:rPr>
          <w:sz w:val="24"/>
        </w:rPr>
        <w:t>эт</w:t>
      </w:r>
      <w:proofErr w:type="spellEnd"/>
      <w:r>
        <w:rPr>
          <w:sz w:val="24"/>
        </w:rPr>
        <w:t>/</w:t>
      </w:r>
      <w:proofErr w:type="spellStart"/>
      <w:r>
        <w:rPr>
          <w:sz w:val="24"/>
        </w:rPr>
        <w:t>пом</w:t>
      </w:r>
      <w:proofErr w:type="spellEnd"/>
      <w:r>
        <w:rPr>
          <w:sz w:val="24"/>
        </w:rPr>
        <w:t>/ком 1/I/2, телефон: 8(800)302-29-99, e-</w:t>
      </w:r>
      <w:proofErr w:type="spellStart"/>
      <w:r>
        <w:rPr>
          <w:sz w:val="24"/>
        </w:rPr>
        <w:t>mail</w:t>
      </w:r>
      <w:proofErr w:type="spellEnd"/>
      <w:r>
        <w:rPr>
          <w:sz w:val="24"/>
        </w:rPr>
        <w:t>: property@sberbank-ast.ru.</w:t>
      </w:r>
    </w:p>
    <w:p w:rsidR="00F12BFB" w:rsidRDefault="00DA75E6">
      <w:pPr>
        <w:ind w:firstLine="670"/>
        <w:jc w:val="both"/>
        <w:rPr>
          <w:sz w:val="24"/>
        </w:rPr>
      </w:pPr>
      <w:r>
        <w:rPr>
          <w:sz w:val="24"/>
        </w:rPr>
        <w:t xml:space="preserve">Электронный аукцион проводится </w:t>
      </w:r>
      <w:r w:rsidRPr="007145AA">
        <w:rPr>
          <w:sz w:val="24"/>
        </w:rPr>
        <w:t xml:space="preserve">на основании постановления Администрации </w:t>
      </w:r>
      <w:proofErr w:type="spellStart"/>
      <w:r w:rsidRPr="007145AA">
        <w:rPr>
          <w:sz w:val="24"/>
        </w:rPr>
        <w:t>Конышевского</w:t>
      </w:r>
      <w:proofErr w:type="spellEnd"/>
      <w:r w:rsidRPr="007145AA">
        <w:rPr>
          <w:sz w:val="24"/>
        </w:rPr>
        <w:t xml:space="preserve"> района Курской о</w:t>
      </w:r>
      <w:r w:rsidR="007145AA">
        <w:rPr>
          <w:sz w:val="24"/>
        </w:rPr>
        <w:t xml:space="preserve">бласти от 05.02.2025г. №17-па </w:t>
      </w:r>
      <w:r>
        <w:rPr>
          <w:sz w:val="24"/>
        </w:rPr>
        <w:t xml:space="preserve">«Об объявлении торгов в форме электронного аукциона на право заключения договора аренды земельного участка». Электронный аукцион объявлен по итогам рассмотрения заявлений граждан о намерении участвовать в аукционе. </w:t>
      </w:r>
    </w:p>
    <w:p w:rsidR="00F12BFB" w:rsidRDefault="00DA75E6">
      <w:pPr>
        <w:ind w:firstLine="670"/>
        <w:jc w:val="both"/>
        <w:rPr>
          <w:b/>
          <w:sz w:val="24"/>
        </w:rPr>
      </w:pPr>
      <w:r>
        <w:rPr>
          <w:b/>
          <w:sz w:val="24"/>
        </w:rPr>
        <w:t>Заявителями по настоящему электронному аукциону могут выступать только граждане.</w:t>
      </w:r>
    </w:p>
    <w:p w:rsidR="00F12BFB" w:rsidRDefault="00DA75E6">
      <w:pPr>
        <w:ind w:firstLine="670"/>
        <w:jc w:val="both"/>
        <w:rPr>
          <w:b/>
          <w:sz w:val="24"/>
        </w:rPr>
      </w:pPr>
      <w:r>
        <w:rPr>
          <w:sz w:val="24"/>
        </w:rPr>
        <w:t>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F12BFB" w:rsidRDefault="00DA75E6">
      <w:pPr>
        <w:ind w:firstLine="670"/>
        <w:jc w:val="both"/>
        <w:rPr>
          <w:sz w:val="24"/>
        </w:rPr>
      </w:pPr>
      <w:r>
        <w:rPr>
          <w:b/>
          <w:sz w:val="24"/>
        </w:rPr>
        <w:t>Дата и время подачи заявок на участие в электронном аукционе:</w:t>
      </w:r>
      <w:r>
        <w:rPr>
          <w:sz w:val="24"/>
        </w:rPr>
        <w:t xml:space="preserve"> </w:t>
      </w:r>
      <w:r>
        <w:rPr>
          <w:b/>
          <w:sz w:val="24"/>
        </w:rPr>
        <w:t xml:space="preserve">с 23:00 час. 07.02.2025г. по 23:00 час. 04.03.2025г. (по </w:t>
      </w:r>
      <w:proofErr w:type="gramStart"/>
      <w:r>
        <w:rPr>
          <w:b/>
          <w:sz w:val="24"/>
        </w:rPr>
        <w:t>МСК</w:t>
      </w:r>
      <w:proofErr w:type="gramEnd"/>
      <w:r>
        <w:rPr>
          <w:b/>
          <w:sz w:val="24"/>
        </w:rPr>
        <w:t>). Подача заявок осуществляется круглосуточно.</w:t>
      </w:r>
    </w:p>
    <w:p w:rsidR="00F12BFB" w:rsidRDefault="00DA75E6">
      <w:pPr>
        <w:ind w:firstLine="670"/>
        <w:jc w:val="both"/>
        <w:rPr>
          <w:sz w:val="24"/>
        </w:rPr>
      </w:pPr>
      <w:r>
        <w:rPr>
          <w:b/>
          <w:sz w:val="24"/>
        </w:rPr>
        <w:t>Дата и время определения участников электронного аукциона:</w:t>
      </w:r>
      <w:r>
        <w:rPr>
          <w:sz w:val="24"/>
        </w:rPr>
        <w:t xml:space="preserve"> </w:t>
      </w:r>
      <w:r>
        <w:rPr>
          <w:b/>
          <w:sz w:val="24"/>
        </w:rPr>
        <w:t xml:space="preserve">06.03.2025г. в 12:30 час. (по </w:t>
      </w:r>
      <w:proofErr w:type="gramStart"/>
      <w:r>
        <w:rPr>
          <w:b/>
          <w:sz w:val="24"/>
        </w:rPr>
        <w:t>МСК</w:t>
      </w:r>
      <w:proofErr w:type="gramEnd"/>
      <w:r>
        <w:rPr>
          <w:b/>
          <w:sz w:val="24"/>
        </w:rPr>
        <w:t>).</w:t>
      </w:r>
    </w:p>
    <w:p w:rsidR="00F12BFB" w:rsidRDefault="00DA75E6">
      <w:pPr>
        <w:ind w:firstLine="670"/>
        <w:jc w:val="both"/>
        <w:rPr>
          <w:b/>
          <w:sz w:val="24"/>
        </w:rPr>
      </w:pPr>
      <w:r>
        <w:rPr>
          <w:b/>
          <w:sz w:val="24"/>
        </w:rPr>
        <w:t>Дата и время проведения электронного аукциона:</w:t>
      </w:r>
      <w:r>
        <w:rPr>
          <w:sz w:val="24"/>
        </w:rPr>
        <w:t xml:space="preserve"> </w:t>
      </w:r>
      <w:r>
        <w:rPr>
          <w:b/>
          <w:sz w:val="24"/>
        </w:rPr>
        <w:t xml:space="preserve">10.03.2025г. в 12:00 час. (по </w:t>
      </w:r>
      <w:proofErr w:type="gramStart"/>
      <w:r>
        <w:rPr>
          <w:b/>
          <w:sz w:val="24"/>
        </w:rPr>
        <w:t>МСК</w:t>
      </w:r>
      <w:proofErr w:type="gramEnd"/>
      <w:r>
        <w:rPr>
          <w:b/>
          <w:sz w:val="24"/>
        </w:rPr>
        <w:t>).</w:t>
      </w:r>
    </w:p>
    <w:p w:rsidR="00F12BFB" w:rsidRDefault="00DA75E6">
      <w:pPr>
        <w:ind w:firstLine="670"/>
        <w:jc w:val="both"/>
        <w:rPr>
          <w:b/>
          <w:sz w:val="24"/>
        </w:rPr>
      </w:pPr>
      <w:r>
        <w:rPr>
          <w:b/>
          <w:sz w:val="24"/>
        </w:rPr>
        <w:t>Дата подведения итогов электронного аукциона:</w:t>
      </w:r>
      <w:r>
        <w:rPr>
          <w:sz w:val="24"/>
        </w:rPr>
        <w:t xml:space="preserve"> </w:t>
      </w:r>
      <w:r>
        <w:rPr>
          <w:b/>
          <w:sz w:val="24"/>
        </w:rPr>
        <w:t>10.03.2025г.</w:t>
      </w:r>
    </w:p>
    <w:p w:rsidR="00F12BFB" w:rsidRDefault="00DA75E6">
      <w:pPr>
        <w:ind w:firstLine="670"/>
        <w:jc w:val="both"/>
        <w:rPr>
          <w:sz w:val="24"/>
        </w:rPr>
      </w:pPr>
      <w:r>
        <w:rPr>
          <w:b/>
          <w:sz w:val="24"/>
        </w:rPr>
        <w:t>Место подачи заявок и проведения аукциона</w:t>
      </w:r>
      <w:r>
        <w:rPr>
          <w:sz w:val="24"/>
        </w:rPr>
        <w:t xml:space="preserve"> – электронная площадка </w:t>
      </w:r>
      <w:r>
        <w:rPr>
          <w:rStyle w:val="1f8"/>
          <w:color w:val="000000"/>
          <w:sz w:val="24"/>
          <w:u w:val="none"/>
        </w:rPr>
        <w:t xml:space="preserve">АО «Сбербанк-АСТ» </w:t>
      </w:r>
      <w:hyperlink r:id="rId8" w:history="1">
        <w:r w:rsidRPr="007319FC">
          <w:rPr>
            <w:rStyle w:val="1f8"/>
            <w:color w:val="auto"/>
            <w:sz w:val="24"/>
          </w:rPr>
          <w:t>http://utp.sberbank-ast.ru/AP/</w:t>
        </w:r>
      </w:hyperlink>
      <w:r w:rsidRPr="007319FC">
        <w:rPr>
          <w:color w:val="auto"/>
          <w:sz w:val="24"/>
        </w:rPr>
        <w:t xml:space="preserve"> (</w:t>
      </w:r>
      <w:r>
        <w:rPr>
          <w:rStyle w:val="1f8"/>
          <w:color w:val="000000"/>
          <w:sz w:val="24"/>
          <w:u w:val="none"/>
        </w:rPr>
        <w:t>торговая секция «Приватизация, аренда и продажа прав» Универсальной торговой платформы АО «Сбербанк-АСТ»)</w:t>
      </w:r>
      <w:r>
        <w:rPr>
          <w:sz w:val="24"/>
        </w:rPr>
        <w:t>.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rsidR="00F12BFB" w:rsidRDefault="00DA75E6">
      <w:pPr>
        <w:ind w:firstLine="670"/>
        <w:jc w:val="both"/>
        <w:rPr>
          <w:rStyle w:val="1f8"/>
          <w:color w:val="000000"/>
          <w:sz w:val="24"/>
          <w:u w:val="none"/>
        </w:rPr>
      </w:pPr>
      <w:r>
        <w:rPr>
          <w:sz w:val="24"/>
        </w:rPr>
        <w:tab/>
      </w:r>
      <w:r w:rsidRPr="007319FC">
        <w:rPr>
          <w:color w:val="auto"/>
          <w:sz w:val="24"/>
        </w:rPr>
        <w:t xml:space="preserve">Настоящая документация об электронном аукционе размещена </w:t>
      </w:r>
      <w:r w:rsidRPr="007319FC">
        <w:rPr>
          <w:rStyle w:val="1f5"/>
          <w:color w:val="auto"/>
          <w:sz w:val="24"/>
        </w:rPr>
        <w:t>на официальном сайте ГИС «Торги» (</w:t>
      </w:r>
      <w:hyperlink r:id="rId9" w:history="1">
        <w:r w:rsidRPr="007319FC">
          <w:rPr>
            <w:rStyle w:val="1f8"/>
            <w:color w:val="auto"/>
            <w:sz w:val="24"/>
          </w:rPr>
          <w:t>https://torgi.gov.ru/</w:t>
        </w:r>
      </w:hyperlink>
      <w:r w:rsidRPr="007319FC">
        <w:rPr>
          <w:rStyle w:val="1f5"/>
          <w:color w:val="auto"/>
          <w:sz w:val="24"/>
        </w:rPr>
        <w:t xml:space="preserve">) </w:t>
      </w:r>
      <w:r w:rsidRPr="007319FC">
        <w:rPr>
          <w:rStyle w:val="1f8"/>
          <w:color w:val="auto"/>
          <w:sz w:val="24"/>
          <w:u w:val="none"/>
        </w:rPr>
        <w:t xml:space="preserve">и </w:t>
      </w:r>
      <w:r>
        <w:rPr>
          <w:rStyle w:val="1f8"/>
          <w:color w:val="000000"/>
          <w:sz w:val="24"/>
          <w:u w:val="none"/>
        </w:rPr>
        <w:t xml:space="preserve">на сайте электронной площадки АО «Сбербанк-АСТ» </w:t>
      </w:r>
      <w:r>
        <w:rPr>
          <w:sz w:val="24"/>
        </w:rPr>
        <w:t>(далее - электронная площадка)</w:t>
      </w:r>
      <w:r>
        <w:rPr>
          <w:rStyle w:val="1f8"/>
          <w:color w:val="000000"/>
          <w:sz w:val="24"/>
          <w:u w:val="none"/>
        </w:rPr>
        <w:t>,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 (УТП)).</w:t>
      </w:r>
    </w:p>
    <w:p w:rsidR="00F12BFB" w:rsidRPr="007319FC" w:rsidRDefault="00DA75E6">
      <w:pPr>
        <w:ind w:firstLine="670"/>
        <w:jc w:val="both"/>
        <w:rPr>
          <w:color w:val="auto"/>
          <w:sz w:val="24"/>
        </w:rPr>
      </w:pPr>
      <w:r>
        <w:rPr>
          <w:b/>
          <w:sz w:val="24"/>
        </w:rPr>
        <w:lastRenderedPageBreak/>
        <w:t>Форма заявки</w:t>
      </w:r>
      <w:r>
        <w:rPr>
          <w:sz w:val="24"/>
        </w:rPr>
        <w:t xml:space="preserve"> на участие в электронном аукционе (Приложение 1 к документации об электронном аукционе) а также </w:t>
      </w:r>
      <w:r>
        <w:rPr>
          <w:b/>
          <w:sz w:val="24"/>
        </w:rPr>
        <w:t>проект договора аренды</w:t>
      </w:r>
      <w:r>
        <w:rPr>
          <w:sz w:val="24"/>
        </w:rPr>
        <w:t xml:space="preserve"> </w:t>
      </w:r>
      <w:r>
        <w:rPr>
          <w:b/>
          <w:sz w:val="24"/>
        </w:rPr>
        <w:t>земельного участка</w:t>
      </w:r>
      <w:r>
        <w:rPr>
          <w:sz w:val="24"/>
        </w:rPr>
        <w:t xml:space="preserve"> (Приложение 2.1 </w:t>
      </w:r>
      <w:r w:rsidRPr="007319FC">
        <w:rPr>
          <w:color w:val="auto"/>
          <w:sz w:val="24"/>
        </w:rPr>
        <w:t xml:space="preserve">к документации об электронном аукционе) размещены </w:t>
      </w:r>
      <w:r w:rsidRPr="007319FC">
        <w:rPr>
          <w:rStyle w:val="1f5"/>
          <w:color w:val="auto"/>
          <w:sz w:val="24"/>
        </w:rPr>
        <w:t>на официальном сайте ГИС «Торги» (</w:t>
      </w:r>
      <w:hyperlink r:id="rId10" w:anchor="_blank" w:history="1">
        <w:r w:rsidRPr="007319FC">
          <w:rPr>
            <w:rStyle w:val="1f8"/>
            <w:color w:val="auto"/>
            <w:sz w:val="24"/>
            <w:u w:val="none"/>
          </w:rPr>
          <w:t>www.torgi.gov.ru</w:t>
        </w:r>
      </w:hyperlink>
      <w:r w:rsidRPr="007319FC">
        <w:rPr>
          <w:rStyle w:val="1f8"/>
          <w:color w:val="auto"/>
          <w:sz w:val="24"/>
          <w:u w:val="none"/>
        </w:rPr>
        <w:t>) и на сайте электронной площадки АО «Сбербанк-АСТ» (</w:t>
      </w:r>
      <w:hyperlink r:id="rId11" w:history="1">
        <w:r w:rsidRPr="007319FC">
          <w:rPr>
            <w:rStyle w:val="1f8"/>
            <w:color w:val="auto"/>
            <w:sz w:val="24"/>
          </w:rPr>
          <w:t>http://utp.sberbank-ast.ru/AP</w:t>
        </w:r>
      </w:hyperlink>
      <w:r w:rsidRPr="007319FC">
        <w:rPr>
          <w:rStyle w:val="1f8"/>
          <w:color w:val="auto"/>
          <w:sz w:val="24"/>
          <w:u w:val="none"/>
        </w:rPr>
        <w:t>)</w:t>
      </w:r>
      <w:r w:rsidRPr="007319FC">
        <w:rPr>
          <w:color w:val="auto"/>
          <w:sz w:val="24"/>
        </w:rPr>
        <w:t>.</w:t>
      </w:r>
    </w:p>
    <w:p w:rsidR="00F12BFB" w:rsidRDefault="00DA75E6">
      <w:pPr>
        <w:ind w:firstLine="670"/>
        <w:jc w:val="both"/>
        <w:rPr>
          <w:sz w:val="24"/>
        </w:rPr>
      </w:pPr>
      <w:r w:rsidRPr="007319FC">
        <w:rPr>
          <w:color w:val="auto"/>
          <w:sz w:val="24"/>
        </w:rPr>
        <w:t xml:space="preserve">На этапе </w:t>
      </w:r>
      <w:r>
        <w:rPr>
          <w:sz w:val="24"/>
        </w:rPr>
        <w:t xml:space="preserve">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 </w:t>
      </w:r>
    </w:p>
    <w:p w:rsidR="00F12BFB" w:rsidRDefault="00DA75E6">
      <w:pPr>
        <w:ind w:firstLine="670"/>
        <w:jc w:val="both"/>
        <w:rPr>
          <w:sz w:val="24"/>
        </w:rPr>
      </w:pPr>
      <w:r>
        <w:rPr>
          <w:sz w:val="24"/>
        </w:rPr>
        <w:t xml:space="preserve">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не предусмотрена. </w:t>
      </w:r>
    </w:p>
    <w:p w:rsidR="00F12BFB" w:rsidRDefault="00DA75E6">
      <w:pPr>
        <w:ind w:firstLine="670"/>
        <w:jc w:val="both"/>
        <w:rPr>
          <w:sz w:val="24"/>
        </w:rPr>
      </w:pPr>
      <w:r>
        <w:rPr>
          <w:sz w:val="24"/>
        </w:rPr>
        <w:t xml:space="preserve">Актуальная информация </w:t>
      </w:r>
      <w:r w:rsidRPr="007319FC">
        <w:rPr>
          <w:color w:val="auto"/>
          <w:sz w:val="24"/>
        </w:rPr>
        <w:t xml:space="preserve">о тарифах для участников торгов указана на странице сайта электронной площадки по адресу: </w:t>
      </w:r>
      <w:hyperlink r:id="rId12" w:history="1">
        <w:r w:rsidRPr="007319FC">
          <w:rPr>
            <w:rStyle w:val="1f8"/>
            <w:color w:val="auto"/>
            <w:sz w:val="24"/>
          </w:rPr>
          <w:t>https://utp.sberbank-ast.ru/AP/Notice/3241/Tarify</w:t>
        </w:r>
      </w:hyperlink>
      <w:r w:rsidRPr="007319FC">
        <w:rPr>
          <w:color w:val="auto"/>
          <w:sz w:val="24"/>
        </w:rPr>
        <w:t>.</w:t>
      </w:r>
    </w:p>
    <w:p w:rsidR="00F12BFB" w:rsidRDefault="00DA75E6">
      <w:pPr>
        <w:ind w:firstLine="670"/>
        <w:jc w:val="both"/>
        <w:rPr>
          <w:sz w:val="24"/>
        </w:rPr>
      </w:pPr>
      <w:r>
        <w:rPr>
          <w:sz w:val="24"/>
        </w:rPr>
        <w:t xml:space="preserve">Организатор электронного аукциона (Уполномоченный орган) - Администрация </w:t>
      </w:r>
      <w:proofErr w:type="spellStart"/>
      <w:r>
        <w:rPr>
          <w:sz w:val="24"/>
        </w:rPr>
        <w:t>Конышевского</w:t>
      </w:r>
      <w:proofErr w:type="spellEnd"/>
      <w:r>
        <w:rPr>
          <w:sz w:val="24"/>
        </w:rPr>
        <w:t xml:space="preserve"> района Курской области </w:t>
      </w:r>
      <w:proofErr w:type="spellStart"/>
      <w:r>
        <w:rPr>
          <w:sz w:val="24"/>
        </w:rPr>
        <w:t>области</w:t>
      </w:r>
      <w:proofErr w:type="spellEnd"/>
      <w:r>
        <w:rPr>
          <w:sz w:val="24"/>
        </w:rPr>
        <w:t xml:space="preserve"> вправе отказаться от проведения электронного аукциона в любое время, но не позднее чем за три дня до наступления даты его проведения (т.е. до 06.03.2025г.), в случае выявления обстоятельств, предусмотренных п. 8 ст.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rsidR="00F12BFB" w:rsidRDefault="00F12BFB">
      <w:pPr>
        <w:ind w:firstLine="670"/>
        <w:jc w:val="center"/>
        <w:rPr>
          <w:i/>
          <w:sz w:val="24"/>
        </w:rPr>
      </w:pPr>
    </w:p>
    <w:p w:rsidR="00F12BFB" w:rsidRDefault="00DA75E6">
      <w:pPr>
        <w:ind w:firstLine="670"/>
        <w:jc w:val="center"/>
        <w:rPr>
          <w:b/>
          <w:sz w:val="24"/>
          <w:u w:val="single"/>
        </w:rPr>
      </w:pPr>
      <w:r>
        <w:rPr>
          <w:b/>
          <w:sz w:val="24"/>
          <w:u w:val="single"/>
        </w:rPr>
        <w:t>1. Предмет торгов и общие параметры лота</w:t>
      </w:r>
    </w:p>
    <w:p w:rsidR="00F12BFB" w:rsidRPr="007319FC" w:rsidRDefault="00F12BFB">
      <w:pPr>
        <w:ind w:firstLine="670"/>
        <w:jc w:val="center"/>
        <w:rPr>
          <w:b/>
          <w:sz w:val="24"/>
          <w:u w:val="single"/>
        </w:rPr>
      </w:pPr>
    </w:p>
    <w:p w:rsidR="00F12BFB" w:rsidRPr="007319FC" w:rsidRDefault="00DA75E6">
      <w:pPr>
        <w:ind w:firstLine="670"/>
        <w:jc w:val="both"/>
        <w:rPr>
          <w:b/>
          <w:sz w:val="24"/>
        </w:rPr>
      </w:pPr>
      <w:r w:rsidRPr="007319FC">
        <w:rPr>
          <w:b/>
          <w:sz w:val="24"/>
        </w:rPr>
        <w:t>1.1. Электронный аукцион является открытым по форме подачи предложений о цене предмета электронного аукциона и по составу участников.</w:t>
      </w:r>
    </w:p>
    <w:p w:rsidR="00F12BFB" w:rsidRDefault="00DA75E6">
      <w:pPr>
        <w:ind w:firstLine="670"/>
        <w:jc w:val="both"/>
        <w:rPr>
          <w:b/>
          <w:sz w:val="24"/>
        </w:rPr>
      </w:pPr>
      <w:r>
        <w:rPr>
          <w:b/>
          <w:sz w:val="24"/>
        </w:rPr>
        <w:t xml:space="preserve">1.2. Предметом настоящего электронного аукциона </w:t>
      </w:r>
      <w:r>
        <w:rPr>
          <w:sz w:val="24"/>
        </w:rPr>
        <w:t>на право заключения договора аренды земельного участка, государственная собственность на который не разграничена, ограничений (обременений) прав не зарегистрировано, расположенного на территории муниципального района «</w:t>
      </w:r>
      <w:proofErr w:type="spellStart"/>
      <w:r>
        <w:rPr>
          <w:sz w:val="24"/>
        </w:rPr>
        <w:t>Конышевский</w:t>
      </w:r>
      <w:proofErr w:type="spellEnd"/>
      <w:r>
        <w:rPr>
          <w:sz w:val="24"/>
        </w:rPr>
        <w:t xml:space="preserve"> район» Курской области, </w:t>
      </w:r>
      <w:r>
        <w:rPr>
          <w:b/>
          <w:sz w:val="24"/>
        </w:rPr>
        <w:t>является размер ежегодной арендной платы.</w:t>
      </w:r>
    </w:p>
    <w:p w:rsidR="00F12BFB" w:rsidRDefault="00DA75E6">
      <w:pPr>
        <w:ind w:firstLine="670"/>
        <w:jc w:val="both"/>
        <w:rPr>
          <w:b/>
          <w:sz w:val="24"/>
        </w:rPr>
      </w:pPr>
      <w:r>
        <w:rPr>
          <w:b/>
          <w:sz w:val="24"/>
        </w:rPr>
        <w:t>1.3. Характеристики передаваемого в аренду земельного участка:</w:t>
      </w:r>
    </w:p>
    <w:p w:rsidR="00F12BFB" w:rsidRDefault="00DA75E6">
      <w:pPr>
        <w:ind w:firstLine="670"/>
        <w:jc w:val="both"/>
        <w:rPr>
          <w:sz w:val="24"/>
        </w:rPr>
      </w:pPr>
      <w:r>
        <w:rPr>
          <w:sz w:val="24"/>
        </w:rPr>
        <w:t xml:space="preserve">Лот 1. Земельный участок из категории земель населённых пунктов, разрешенное использование – для ведения личного подсобного хозяйства, площадью 1500 </w:t>
      </w:r>
      <w:proofErr w:type="spellStart"/>
      <w:r>
        <w:rPr>
          <w:sz w:val="24"/>
        </w:rPr>
        <w:t>кв.м</w:t>
      </w:r>
      <w:proofErr w:type="spellEnd"/>
      <w:r>
        <w:rPr>
          <w:sz w:val="24"/>
        </w:rPr>
        <w:t xml:space="preserve">., кадастровый номер 46:09:080202:154, местоположение: Курская область, </w:t>
      </w:r>
      <w:proofErr w:type="spellStart"/>
      <w:r>
        <w:rPr>
          <w:sz w:val="24"/>
        </w:rPr>
        <w:t>Конышевский</w:t>
      </w:r>
      <w:proofErr w:type="spellEnd"/>
      <w:r>
        <w:rPr>
          <w:sz w:val="24"/>
        </w:rPr>
        <w:t xml:space="preserve"> р-н, </w:t>
      </w:r>
      <w:proofErr w:type="spellStart"/>
      <w:r>
        <w:rPr>
          <w:sz w:val="24"/>
        </w:rPr>
        <w:t>Малогородьковский</w:t>
      </w:r>
      <w:proofErr w:type="spellEnd"/>
      <w:r>
        <w:rPr>
          <w:sz w:val="24"/>
        </w:rPr>
        <w:t xml:space="preserve"> с/с, д. Большое </w:t>
      </w:r>
      <w:proofErr w:type="spellStart"/>
      <w:r>
        <w:rPr>
          <w:sz w:val="24"/>
        </w:rPr>
        <w:t>Городьково</w:t>
      </w:r>
      <w:proofErr w:type="spellEnd"/>
      <w:r>
        <w:rPr>
          <w:rStyle w:val="1c"/>
          <w:sz w:val="24"/>
        </w:rPr>
        <w:footnoteReference w:id="1"/>
      </w:r>
      <w:r>
        <w:rPr>
          <w:sz w:val="24"/>
        </w:rPr>
        <w:t>.</w:t>
      </w:r>
    </w:p>
    <w:p w:rsidR="00F12BFB" w:rsidRDefault="00DA75E6">
      <w:pPr>
        <w:ind w:firstLine="670"/>
        <w:jc w:val="both"/>
        <w:rPr>
          <w:sz w:val="24"/>
        </w:rPr>
      </w:pPr>
      <w:r>
        <w:rPr>
          <w:b/>
          <w:sz w:val="24"/>
        </w:rPr>
        <w:t>1.4. Начальная цена предмета электронного аукциона</w:t>
      </w:r>
      <w:r>
        <w:rPr>
          <w:sz w:val="24"/>
        </w:rPr>
        <w:t xml:space="preserve"> установлена на основании п. 14 ст. 39.11 Земельного кодекса РФ в размере 2% от кадастровой стоимости земельного участка, что составляет </w:t>
      </w:r>
      <w:r w:rsidRPr="00DA75E6">
        <w:rPr>
          <w:sz w:val="24"/>
        </w:rPr>
        <w:t>2252 (Две тысячи двести пятьдесят два) руб. 00 коп. в год</w:t>
      </w:r>
      <w:r>
        <w:rPr>
          <w:sz w:val="24"/>
        </w:rPr>
        <w:t>.</w:t>
      </w:r>
    </w:p>
    <w:p w:rsidR="00F12BFB" w:rsidRDefault="00DA75E6">
      <w:pPr>
        <w:ind w:firstLine="670"/>
        <w:jc w:val="both"/>
        <w:rPr>
          <w:sz w:val="24"/>
        </w:rPr>
      </w:pPr>
      <w:r>
        <w:rPr>
          <w:b/>
          <w:sz w:val="24"/>
        </w:rPr>
        <w:t>1.5. Шаг электронного аукциона</w:t>
      </w:r>
      <w:r>
        <w:rPr>
          <w:sz w:val="24"/>
        </w:rPr>
        <w:t xml:space="preserve"> - 3% от начальной цены предмета электронного аукциона и составляет </w:t>
      </w:r>
      <w:r w:rsidRPr="00DA75E6">
        <w:rPr>
          <w:sz w:val="24"/>
        </w:rPr>
        <w:t>67 (Шестьдесят семь) руб. 56 коп</w:t>
      </w:r>
      <w:r>
        <w:rPr>
          <w:sz w:val="24"/>
        </w:rPr>
        <w:t>.</w:t>
      </w:r>
      <w:r>
        <w:rPr>
          <w:sz w:val="24"/>
        </w:rPr>
        <w:tab/>
      </w:r>
    </w:p>
    <w:p w:rsidR="00F12BFB" w:rsidRDefault="00DA75E6">
      <w:pPr>
        <w:ind w:firstLine="670"/>
        <w:jc w:val="both"/>
        <w:rPr>
          <w:sz w:val="24"/>
        </w:rPr>
      </w:pPr>
      <w:r>
        <w:rPr>
          <w:b/>
          <w:sz w:val="24"/>
        </w:rPr>
        <w:t>1.6. Размер задатка</w:t>
      </w:r>
      <w:r>
        <w:rPr>
          <w:sz w:val="24"/>
        </w:rPr>
        <w:t xml:space="preserve"> - 99% от начальной цены предмета электронного аукциона и составляет </w:t>
      </w:r>
      <w:r w:rsidR="00E03D1F" w:rsidRPr="00E03D1F">
        <w:rPr>
          <w:sz w:val="24"/>
        </w:rPr>
        <w:t>2229 (Две тысячи двести двадцать девять) руб. 48 коп</w:t>
      </w:r>
      <w:r w:rsidR="009810F5">
        <w:rPr>
          <w:sz w:val="24"/>
        </w:rPr>
        <w:t>.</w:t>
      </w:r>
    </w:p>
    <w:p w:rsidR="00F12BFB" w:rsidRDefault="00DA75E6">
      <w:pPr>
        <w:ind w:firstLine="670"/>
        <w:jc w:val="both"/>
        <w:rPr>
          <w:sz w:val="24"/>
        </w:rPr>
      </w:pPr>
      <w:r>
        <w:rPr>
          <w:b/>
          <w:sz w:val="24"/>
        </w:rPr>
        <w:lastRenderedPageBreak/>
        <w:t xml:space="preserve">1.7. Срок действия договора аренды - </w:t>
      </w:r>
      <w:r>
        <w:rPr>
          <w:sz w:val="24"/>
        </w:rPr>
        <w:t>20 (Двадцать) лет с момента его заключения.</w:t>
      </w:r>
    </w:p>
    <w:p w:rsidR="00F12BFB" w:rsidRDefault="00DA75E6">
      <w:pPr>
        <w:ind w:firstLine="670"/>
        <w:jc w:val="both"/>
        <w:rPr>
          <w:sz w:val="24"/>
        </w:rPr>
      </w:pPr>
      <w:r>
        <w:rPr>
          <w:b/>
          <w:sz w:val="24"/>
        </w:rPr>
        <w:t>1.8. Имеется возможность подключения (технологического присоединения)</w:t>
      </w:r>
      <w:r>
        <w:rPr>
          <w:sz w:val="24"/>
        </w:rPr>
        <w:t xml:space="preserve"> объектов капитального строительства к сетям электроснабжения</w:t>
      </w:r>
      <w:r>
        <w:rPr>
          <w:rStyle w:val="1c"/>
          <w:sz w:val="24"/>
        </w:rPr>
        <w:footnoteReference w:id="2"/>
      </w:r>
      <w:r w:rsidR="00435150">
        <w:rPr>
          <w:sz w:val="24"/>
        </w:rPr>
        <w:t xml:space="preserve"> </w:t>
      </w:r>
      <w:r w:rsidR="008F0F67">
        <w:rPr>
          <w:sz w:val="24"/>
        </w:rPr>
        <w:t>и сетям связи</w:t>
      </w:r>
      <w:r w:rsidR="00B842D7">
        <w:rPr>
          <w:rStyle w:val="aff5"/>
          <w:sz w:val="24"/>
        </w:rPr>
        <w:footnoteReference w:id="3"/>
      </w:r>
      <w:r w:rsidR="008F0F67">
        <w:rPr>
          <w:sz w:val="24"/>
        </w:rPr>
        <w:t xml:space="preserve"> </w:t>
      </w:r>
      <w:r>
        <w:rPr>
          <w:sz w:val="24"/>
        </w:rPr>
        <w:t xml:space="preserve">после строительства. Плата за подключение к указанным сетям будет определена на основании утвержденных тарифов на момент подключения. </w:t>
      </w:r>
      <w:r>
        <w:rPr>
          <w:b/>
          <w:sz w:val="24"/>
        </w:rPr>
        <w:t>Отсутствует возможность подключения (технологического присоединения)</w:t>
      </w:r>
      <w:r>
        <w:rPr>
          <w:sz w:val="24"/>
        </w:rPr>
        <w:t xml:space="preserve"> объектов капитального строительства к сетям </w:t>
      </w:r>
      <w:r w:rsidR="007C2779">
        <w:rPr>
          <w:sz w:val="24"/>
        </w:rPr>
        <w:t xml:space="preserve">газоснабжения, </w:t>
      </w:r>
      <w:r>
        <w:rPr>
          <w:sz w:val="24"/>
        </w:rPr>
        <w:t>централизованного водоснабжения (</w:t>
      </w:r>
      <w:r w:rsidR="00127188">
        <w:rPr>
          <w:sz w:val="24"/>
        </w:rPr>
        <w:t xml:space="preserve">холодного </w:t>
      </w:r>
      <w:r w:rsidR="00CB0802">
        <w:rPr>
          <w:sz w:val="24"/>
        </w:rPr>
        <w:t xml:space="preserve">и </w:t>
      </w:r>
      <w:r>
        <w:rPr>
          <w:sz w:val="24"/>
        </w:rPr>
        <w:t>горячего), ц</w:t>
      </w:r>
      <w:r w:rsidR="00211F13">
        <w:rPr>
          <w:sz w:val="24"/>
        </w:rPr>
        <w:t>ентрализованного водоотведения и теплоснабжения</w:t>
      </w:r>
      <w:r>
        <w:rPr>
          <w:sz w:val="24"/>
        </w:rPr>
        <w:t>.</w:t>
      </w:r>
    </w:p>
    <w:p w:rsidR="00F12BFB" w:rsidRDefault="00DA75E6">
      <w:pPr>
        <w:ind w:firstLine="670"/>
        <w:jc w:val="both"/>
        <w:rPr>
          <w:sz w:val="24"/>
        </w:rPr>
      </w:pPr>
      <w:r>
        <w:rPr>
          <w:b/>
          <w:sz w:val="24"/>
        </w:rPr>
        <w:t xml:space="preserve">1.9. Максимально и (или) минимально допустимые параметры разрешенного строительства </w:t>
      </w:r>
      <w:r>
        <w:rPr>
          <w:sz w:val="24"/>
        </w:rPr>
        <w:t>объектов капитального строительства устанавливаются в соответствии с Правилами землепользования и застройки МО «</w:t>
      </w:r>
      <w:proofErr w:type="spellStart"/>
      <w:r>
        <w:rPr>
          <w:sz w:val="24"/>
        </w:rPr>
        <w:t>Малогородьковский</w:t>
      </w:r>
      <w:proofErr w:type="spellEnd"/>
      <w:r>
        <w:rPr>
          <w:sz w:val="24"/>
        </w:rPr>
        <w:t xml:space="preserve"> сельсовет» </w:t>
      </w:r>
      <w:proofErr w:type="spellStart"/>
      <w:r>
        <w:rPr>
          <w:sz w:val="24"/>
        </w:rPr>
        <w:t>Конышевского</w:t>
      </w:r>
      <w:proofErr w:type="spellEnd"/>
      <w:r>
        <w:rPr>
          <w:sz w:val="24"/>
        </w:rPr>
        <w:t xml:space="preserve"> района Курской области (Градостроительный регламент зоны застройки индивидуальными жилыми домами (Ж1)):</w:t>
      </w:r>
    </w:p>
    <w:p w:rsidR="00D90596" w:rsidRPr="00D90596" w:rsidRDefault="00D90596" w:rsidP="00D90596">
      <w:pPr>
        <w:ind w:firstLine="670"/>
        <w:jc w:val="both"/>
        <w:rPr>
          <w:sz w:val="24"/>
        </w:rPr>
      </w:pPr>
      <w:r w:rsidRPr="00D90596">
        <w:rPr>
          <w:sz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90596" w:rsidRPr="00D90596" w:rsidRDefault="00D90596" w:rsidP="00D90596">
      <w:pPr>
        <w:ind w:firstLine="670"/>
        <w:jc w:val="both"/>
        <w:rPr>
          <w:sz w:val="24"/>
        </w:rPr>
      </w:pPr>
      <w:r w:rsidRPr="00D90596">
        <w:rPr>
          <w:sz w:val="24"/>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90596" w:rsidRPr="00D90596" w:rsidRDefault="00D90596" w:rsidP="00D90596">
      <w:pPr>
        <w:ind w:firstLine="670"/>
        <w:jc w:val="both"/>
        <w:rPr>
          <w:sz w:val="24"/>
        </w:rPr>
      </w:pPr>
      <w:r w:rsidRPr="00D90596">
        <w:rPr>
          <w:sz w:val="24"/>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90596" w:rsidRPr="00D90596" w:rsidRDefault="00D90596" w:rsidP="00D90596">
      <w:pPr>
        <w:ind w:firstLine="670"/>
        <w:jc w:val="both"/>
        <w:rPr>
          <w:sz w:val="24"/>
        </w:rPr>
      </w:pPr>
      <w:r w:rsidRPr="00D90596">
        <w:rPr>
          <w:sz w:val="24"/>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D90596" w:rsidRPr="00D90596" w:rsidRDefault="00D90596" w:rsidP="00D90596">
      <w:pPr>
        <w:ind w:firstLine="670"/>
        <w:jc w:val="both"/>
        <w:rPr>
          <w:sz w:val="24"/>
        </w:rPr>
      </w:pPr>
      <w:r w:rsidRPr="00D90596">
        <w:rPr>
          <w:sz w:val="24"/>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90596" w:rsidRPr="00D90596" w:rsidRDefault="00D90596" w:rsidP="00D90596">
      <w:pPr>
        <w:ind w:firstLine="670"/>
        <w:jc w:val="both"/>
        <w:rPr>
          <w:sz w:val="24"/>
        </w:rPr>
      </w:pPr>
      <w:r w:rsidRPr="00D90596">
        <w:rPr>
          <w:sz w:val="24"/>
        </w:rPr>
        <w:t>ширину вновь предоставляемого участка для строител</w:t>
      </w:r>
      <w:r>
        <w:rPr>
          <w:sz w:val="24"/>
        </w:rPr>
        <w:t>ьства жилого дома (дачи), а так</w:t>
      </w:r>
      <w:r w:rsidRPr="00D90596">
        <w:rPr>
          <w:sz w:val="24"/>
        </w:rPr>
        <w:t>же ведения личного приусадебного хозяйства принимать не менее 15 метров;</w:t>
      </w:r>
    </w:p>
    <w:p w:rsidR="00D90596" w:rsidRPr="00D90596" w:rsidRDefault="00D90596" w:rsidP="00D90596">
      <w:pPr>
        <w:ind w:firstLine="670"/>
        <w:jc w:val="both"/>
        <w:rPr>
          <w:sz w:val="24"/>
        </w:rPr>
      </w:pPr>
      <w:r w:rsidRPr="00D90596">
        <w:rPr>
          <w:sz w:val="24"/>
        </w:rPr>
        <w:lastRenderedPageBreak/>
        <w:t>индивидуальное строительство жилых домов и других построек должно вестись только на территориях, предусмотренных корректировкой Генерального плана;</w:t>
      </w:r>
    </w:p>
    <w:p w:rsidR="00D90596" w:rsidRPr="00D90596" w:rsidRDefault="00D90596" w:rsidP="00D90596">
      <w:pPr>
        <w:ind w:firstLine="670"/>
        <w:jc w:val="both"/>
        <w:rPr>
          <w:sz w:val="24"/>
        </w:rPr>
      </w:pPr>
      <w:r w:rsidRPr="00D90596">
        <w:rPr>
          <w:sz w:val="24"/>
        </w:rPr>
        <w:t xml:space="preserve">земельный участок на территории малоэтажной жилой застройки домами с </w:t>
      </w:r>
      <w:proofErr w:type="spellStart"/>
      <w:r w:rsidRPr="00D90596">
        <w:rPr>
          <w:sz w:val="24"/>
        </w:rPr>
        <w:t>приквартирными</w:t>
      </w:r>
      <w:proofErr w:type="spellEnd"/>
      <w:r w:rsidRPr="00D90596">
        <w:rPr>
          <w:sz w:val="24"/>
        </w:rPr>
        <w:t xml:space="preserve"> участками может быть использован для садоводства, цветоводства, игр детей и отдыха;</w:t>
      </w:r>
    </w:p>
    <w:p w:rsidR="00D90596" w:rsidRPr="00D90596" w:rsidRDefault="00D90596" w:rsidP="00D90596">
      <w:pPr>
        <w:ind w:firstLine="670"/>
        <w:jc w:val="both"/>
        <w:rPr>
          <w:sz w:val="24"/>
        </w:rPr>
      </w:pPr>
      <w:r w:rsidRPr="00D90596">
        <w:rPr>
          <w:sz w:val="24"/>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D90596" w:rsidRPr="00D90596" w:rsidRDefault="00D90596" w:rsidP="00D90596">
      <w:pPr>
        <w:ind w:firstLine="670"/>
        <w:jc w:val="both"/>
        <w:rPr>
          <w:sz w:val="24"/>
        </w:rPr>
      </w:pPr>
      <w:r w:rsidRPr="00D90596">
        <w:rPr>
          <w:sz w:val="24"/>
        </w:rPr>
        <w:t>строительство гаражей для грузового автотранспорта в зоне индивидуальной жилой застройки запрещено;</w:t>
      </w:r>
    </w:p>
    <w:p w:rsidR="00F12BFB" w:rsidRDefault="00D90596" w:rsidP="00D90596">
      <w:pPr>
        <w:ind w:firstLine="670"/>
        <w:jc w:val="both"/>
        <w:rPr>
          <w:sz w:val="24"/>
        </w:rPr>
      </w:pPr>
      <w:r w:rsidRPr="00D90596">
        <w:rPr>
          <w:sz w:val="24"/>
        </w:rPr>
        <w:t>предельно допустимые параметры в зоне индивидуальной жилой застройки приведены в нижеследующей таблице</w:t>
      </w:r>
      <w:r w:rsidR="00DA75E6">
        <w:rPr>
          <w:sz w:val="24"/>
        </w:rPr>
        <w:t>:</w:t>
      </w:r>
    </w:p>
    <w:p w:rsidR="00F12BFB" w:rsidRDefault="00DA75E6">
      <w:pPr>
        <w:keepNext/>
        <w:rPr>
          <w:b/>
          <w:sz w:val="20"/>
        </w:rPr>
      </w:pPr>
      <w:r>
        <w:rPr>
          <w:b/>
          <w:sz w:val="20"/>
        </w:rPr>
        <w:t>Таблица - Предельно допустимые параметры в зоне индивидуальной (коттеджной) жилой застройки</w:t>
      </w:r>
    </w:p>
    <w:tbl>
      <w:tblPr>
        <w:tblW w:w="0" w:type="auto"/>
        <w:tblLayout w:type="fixed"/>
        <w:tblCellMar>
          <w:left w:w="70" w:type="dxa"/>
          <w:right w:w="70" w:type="dxa"/>
        </w:tblCellMar>
        <w:tblLook w:val="04A0" w:firstRow="1" w:lastRow="0" w:firstColumn="1" w:lastColumn="0" w:noHBand="0" w:noVBand="1"/>
      </w:tblPr>
      <w:tblGrid>
        <w:gridCol w:w="3554"/>
        <w:gridCol w:w="3109"/>
        <w:gridCol w:w="3258"/>
      </w:tblGrid>
      <w:tr w:rsidR="00F12BFB">
        <w:trPr>
          <w:trHeight w:val="240"/>
        </w:trPr>
        <w:tc>
          <w:tcPr>
            <w:tcW w:w="355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Размер земельного участка (кв. м)</w:t>
            </w:r>
          </w:p>
        </w:tc>
        <w:tc>
          <w:tcPr>
            <w:tcW w:w="6367" w:type="dxa"/>
            <w:gridSpan w:val="2"/>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Максимально допустимые параметры</w:t>
            </w:r>
          </w:p>
        </w:tc>
      </w:tr>
      <w:tr w:rsidR="00F12BFB">
        <w:trPr>
          <w:trHeight w:val="360"/>
        </w:trPr>
        <w:tc>
          <w:tcPr>
            <w:tcW w:w="3554" w:type="dxa"/>
            <w:vMerge/>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F12BFB"/>
        </w:tc>
        <w:tc>
          <w:tcPr>
            <w:tcW w:w="310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коэффициент застройки (%)</w:t>
            </w:r>
          </w:p>
        </w:tc>
        <w:tc>
          <w:tcPr>
            <w:tcW w:w="325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коэффициент использования территории</w:t>
            </w:r>
          </w:p>
        </w:tc>
      </w:tr>
      <w:tr w:rsidR="00F12BFB">
        <w:trPr>
          <w:trHeight w:val="240"/>
        </w:trPr>
        <w:tc>
          <w:tcPr>
            <w:tcW w:w="355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от 1000 до 1500</w:t>
            </w:r>
          </w:p>
        </w:tc>
        <w:tc>
          <w:tcPr>
            <w:tcW w:w="310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30</w:t>
            </w:r>
          </w:p>
        </w:tc>
        <w:tc>
          <w:tcPr>
            <w:tcW w:w="325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0,5</w:t>
            </w:r>
          </w:p>
        </w:tc>
      </w:tr>
      <w:tr w:rsidR="00F12BFB">
        <w:trPr>
          <w:trHeight w:val="240"/>
        </w:trPr>
        <w:tc>
          <w:tcPr>
            <w:tcW w:w="355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от 800 до 1000</w:t>
            </w:r>
          </w:p>
        </w:tc>
        <w:tc>
          <w:tcPr>
            <w:tcW w:w="310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40</w:t>
            </w:r>
          </w:p>
        </w:tc>
        <w:tc>
          <w:tcPr>
            <w:tcW w:w="325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0,6</w:t>
            </w:r>
          </w:p>
        </w:tc>
      </w:tr>
      <w:tr w:rsidR="00F12BFB">
        <w:trPr>
          <w:trHeight w:val="240"/>
        </w:trPr>
        <w:tc>
          <w:tcPr>
            <w:tcW w:w="355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от 600 до 800</w:t>
            </w:r>
          </w:p>
        </w:tc>
        <w:tc>
          <w:tcPr>
            <w:tcW w:w="310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50</w:t>
            </w:r>
          </w:p>
        </w:tc>
        <w:tc>
          <w:tcPr>
            <w:tcW w:w="325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0,7</w:t>
            </w:r>
          </w:p>
        </w:tc>
      </w:tr>
      <w:tr w:rsidR="00F12BFB">
        <w:trPr>
          <w:trHeight w:val="240"/>
        </w:trPr>
        <w:tc>
          <w:tcPr>
            <w:tcW w:w="355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400 до 600</w:t>
            </w:r>
          </w:p>
        </w:tc>
        <w:tc>
          <w:tcPr>
            <w:tcW w:w="310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50</w:t>
            </w:r>
          </w:p>
        </w:tc>
        <w:tc>
          <w:tcPr>
            <w:tcW w:w="325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rPr>
            </w:pPr>
            <w:r>
              <w:rPr>
                <w:rFonts w:ascii="Times New Roman" w:hAnsi="Times New Roman"/>
              </w:rPr>
              <w:t>0,8</w:t>
            </w:r>
          </w:p>
        </w:tc>
      </w:tr>
    </w:tbl>
    <w:p w:rsidR="00F12BFB" w:rsidRDefault="00F12BFB">
      <w:pPr>
        <w:ind w:firstLine="540"/>
        <w:jc w:val="both"/>
        <w:rPr>
          <w:sz w:val="24"/>
        </w:rPr>
      </w:pPr>
    </w:p>
    <w:p w:rsidR="00F12BFB" w:rsidRDefault="00DA75E6">
      <w:pPr>
        <w:keepNext/>
        <w:rPr>
          <w:b/>
          <w:sz w:val="20"/>
        </w:rPr>
      </w:pPr>
      <w:r>
        <w:rPr>
          <w:b/>
          <w:sz w:val="20"/>
        </w:rPr>
        <w:t>Таблица – Осн</w:t>
      </w:r>
      <w:r w:rsidR="004F5A51">
        <w:rPr>
          <w:b/>
          <w:sz w:val="20"/>
        </w:rPr>
        <w:t>овные параметры застройки много</w:t>
      </w:r>
      <w:r>
        <w:rPr>
          <w:b/>
          <w:sz w:val="20"/>
        </w:rPr>
        <w:t xml:space="preserve">квартирных жилых домов </w:t>
      </w:r>
    </w:p>
    <w:tbl>
      <w:tblPr>
        <w:tblW w:w="9921" w:type="dxa"/>
        <w:tblLayout w:type="fixed"/>
        <w:tblCellMar>
          <w:left w:w="70" w:type="dxa"/>
          <w:right w:w="70" w:type="dxa"/>
        </w:tblCellMar>
        <w:tblLook w:val="04A0" w:firstRow="1" w:lastRow="0" w:firstColumn="1" w:lastColumn="0" w:noHBand="0" w:noVBand="1"/>
      </w:tblPr>
      <w:tblGrid>
        <w:gridCol w:w="2280"/>
        <w:gridCol w:w="3486"/>
        <w:gridCol w:w="4155"/>
      </w:tblGrid>
      <w:tr w:rsidR="00F12BFB" w:rsidTr="004F5A51">
        <w:trPr>
          <w:trHeight w:val="20"/>
        </w:trPr>
        <w:tc>
          <w:tcPr>
            <w:tcW w:w="2280"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Этажность зданий</w:t>
            </w:r>
          </w:p>
        </w:tc>
        <w:tc>
          <w:tcPr>
            <w:tcW w:w="348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Коэффициент застройки (%)</w:t>
            </w:r>
          </w:p>
        </w:tc>
        <w:tc>
          <w:tcPr>
            <w:tcW w:w="4155"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F12BFB" w:rsidRDefault="00DA75E6">
            <w:pPr>
              <w:pStyle w:val="ConsPlusCell"/>
              <w:widowControl/>
              <w:jc w:val="center"/>
              <w:rPr>
                <w:rFonts w:ascii="Times New Roman" w:hAnsi="Times New Roman"/>
                <w:b/>
              </w:rPr>
            </w:pPr>
            <w:r>
              <w:rPr>
                <w:rFonts w:ascii="Times New Roman" w:hAnsi="Times New Roman"/>
                <w:b/>
              </w:rPr>
              <w:t>Коэффициент использования территории</w:t>
            </w:r>
          </w:p>
        </w:tc>
      </w:tr>
      <w:tr w:rsidR="00F12BFB" w:rsidTr="004F5A51">
        <w:trPr>
          <w:trHeight w:val="20"/>
        </w:trPr>
        <w:tc>
          <w:tcPr>
            <w:tcW w:w="228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1 - 2</w:t>
            </w:r>
          </w:p>
        </w:tc>
        <w:tc>
          <w:tcPr>
            <w:tcW w:w="3486"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30 - 40</w:t>
            </w:r>
          </w:p>
        </w:tc>
        <w:tc>
          <w:tcPr>
            <w:tcW w:w="41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0,4 - 0,5</w:t>
            </w:r>
          </w:p>
        </w:tc>
      </w:tr>
      <w:tr w:rsidR="00F12BFB" w:rsidTr="004F5A51">
        <w:trPr>
          <w:trHeight w:val="80"/>
        </w:trPr>
        <w:tc>
          <w:tcPr>
            <w:tcW w:w="228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3</w:t>
            </w:r>
          </w:p>
        </w:tc>
        <w:tc>
          <w:tcPr>
            <w:tcW w:w="3486"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25 - 35</w:t>
            </w:r>
          </w:p>
        </w:tc>
        <w:tc>
          <w:tcPr>
            <w:tcW w:w="415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12BFB" w:rsidRDefault="00DA75E6">
            <w:pPr>
              <w:pStyle w:val="ConsPlusCell"/>
              <w:widowControl/>
              <w:jc w:val="center"/>
              <w:rPr>
                <w:rFonts w:ascii="Times New Roman" w:hAnsi="Times New Roman"/>
              </w:rPr>
            </w:pPr>
            <w:r>
              <w:rPr>
                <w:rFonts w:ascii="Times New Roman" w:hAnsi="Times New Roman"/>
              </w:rPr>
              <w:t>0,4 - 0,7</w:t>
            </w:r>
          </w:p>
        </w:tc>
      </w:tr>
    </w:tbl>
    <w:p w:rsidR="004F5A51" w:rsidRDefault="004F5A51">
      <w:pPr>
        <w:pStyle w:val="a9"/>
        <w:keepNext/>
        <w:tabs>
          <w:tab w:val="left" w:pos="3609"/>
        </w:tabs>
      </w:pPr>
    </w:p>
    <w:p w:rsidR="00F12BFB" w:rsidRDefault="00DA75E6">
      <w:pPr>
        <w:pStyle w:val="a9"/>
        <w:keepNext/>
        <w:tabs>
          <w:tab w:val="left" w:pos="3609"/>
        </w:tabs>
      </w:pPr>
      <w:r>
        <w:t>Таблица – Показатели плотности общественно-деловой застройки</w:t>
      </w:r>
    </w:p>
    <w:tbl>
      <w:tblPr>
        <w:tblW w:w="0" w:type="auto"/>
        <w:tblLayout w:type="fixed"/>
        <w:tblCellMar>
          <w:left w:w="40" w:type="dxa"/>
          <w:right w:w="40" w:type="dxa"/>
        </w:tblCellMar>
        <w:tblLook w:val="04A0" w:firstRow="1" w:lastRow="0" w:firstColumn="1" w:lastColumn="0" w:noHBand="0" w:noVBand="1"/>
      </w:tblPr>
      <w:tblGrid>
        <w:gridCol w:w="5429"/>
        <w:gridCol w:w="2028"/>
        <w:gridCol w:w="2464"/>
      </w:tblGrid>
      <w:tr w:rsidR="00F12BFB">
        <w:trPr>
          <w:trHeight w:val="20"/>
        </w:trPr>
        <w:tc>
          <w:tcPr>
            <w:tcW w:w="542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b/>
                <w:sz w:val="16"/>
              </w:rPr>
            </w:pPr>
            <w:r>
              <w:rPr>
                <w:b/>
                <w:sz w:val="16"/>
              </w:rPr>
              <w:t>Территориальные зоны</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b/>
                <w:sz w:val="16"/>
              </w:rPr>
            </w:pPr>
            <w:r>
              <w:rPr>
                <w:b/>
                <w:sz w:val="16"/>
              </w:rPr>
              <w:t>Коэффициент застройки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b/>
                <w:sz w:val="16"/>
              </w:rPr>
            </w:pPr>
            <w:r>
              <w:rPr>
                <w:b/>
                <w:sz w:val="16"/>
              </w:rPr>
              <w:t>Коэффициент плотности застройки</w:t>
            </w:r>
          </w:p>
        </w:tc>
      </w:tr>
      <w:tr w:rsidR="00F12BFB">
        <w:trPr>
          <w:trHeight w:val="231"/>
        </w:trPr>
        <w:tc>
          <w:tcPr>
            <w:tcW w:w="5429" w:type="dxa"/>
            <w:tcBorders>
              <w:top w:val="single" w:sz="6" w:space="0" w:color="000000"/>
              <w:left w:val="single" w:sz="6" w:space="0" w:color="000000"/>
              <w:bottom w:val="nil"/>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Общественно-деловая</w:t>
            </w:r>
          </w:p>
        </w:tc>
        <w:tc>
          <w:tcPr>
            <w:tcW w:w="2028" w:type="dxa"/>
            <w:tcBorders>
              <w:top w:val="single" w:sz="6" w:space="0" w:color="000000"/>
              <w:left w:val="single" w:sz="6" w:space="0" w:color="000000"/>
              <w:bottom w:val="nil"/>
              <w:right w:val="single" w:sz="6" w:space="0" w:color="000000"/>
            </w:tcBorders>
            <w:shd w:val="clear" w:color="auto" w:fill="FFFFFF"/>
            <w:tcMar>
              <w:left w:w="40" w:type="dxa"/>
              <w:right w:w="40" w:type="dxa"/>
            </w:tcMar>
            <w:vAlign w:val="center"/>
          </w:tcPr>
          <w:p w:rsidR="00F12BFB" w:rsidRDefault="00F12BFB">
            <w:pPr>
              <w:ind w:left="65" w:right="65"/>
              <w:rPr>
                <w:sz w:val="16"/>
              </w:rPr>
            </w:pPr>
          </w:p>
        </w:tc>
        <w:tc>
          <w:tcPr>
            <w:tcW w:w="2464" w:type="dxa"/>
            <w:tcBorders>
              <w:top w:val="single" w:sz="6" w:space="0" w:color="000000"/>
              <w:left w:val="single" w:sz="6" w:space="0" w:color="000000"/>
              <w:bottom w:val="nil"/>
              <w:right w:val="single" w:sz="6" w:space="0" w:color="000000"/>
            </w:tcBorders>
            <w:shd w:val="clear" w:color="auto" w:fill="FFFFFF"/>
            <w:tcMar>
              <w:left w:w="40" w:type="dxa"/>
              <w:right w:w="40" w:type="dxa"/>
            </w:tcMar>
            <w:vAlign w:val="center"/>
          </w:tcPr>
          <w:p w:rsidR="00F12BFB" w:rsidRDefault="00F12BFB">
            <w:pPr>
              <w:ind w:left="65" w:right="65"/>
              <w:rPr>
                <w:sz w:val="16"/>
              </w:rPr>
            </w:pPr>
          </w:p>
        </w:tc>
      </w:tr>
      <w:tr w:rsidR="00F12BFB">
        <w:trPr>
          <w:trHeight w:val="20"/>
        </w:trPr>
        <w:tc>
          <w:tcPr>
            <w:tcW w:w="5429" w:type="dxa"/>
            <w:tcBorders>
              <w:top w:val="nil"/>
              <w:left w:val="single" w:sz="6" w:space="0" w:color="000000"/>
              <w:bottom w:val="nil"/>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Многофункциональная застройка</w:t>
            </w:r>
          </w:p>
        </w:tc>
        <w:tc>
          <w:tcPr>
            <w:tcW w:w="2028" w:type="dxa"/>
            <w:tcBorders>
              <w:top w:val="nil"/>
              <w:left w:val="single" w:sz="6" w:space="0" w:color="000000"/>
              <w:bottom w:val="nil"/>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1,0</w:t>
            </w:r>
          </w:p>
        </w:tc>
        <w:tc>
          <w:tcPr>
            <w:tcW w:w="2464" w:type="dxa"/>
            <w:tcBorders>
              <w:top w:val="nil"/>
              <w:left w:val="single" w:sz="6" w:space="0" w:color="000000"/>
              <w:bottom w:val="nil"/>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3,0</w:t>
            </w:r>
          </w:p>
        </w:tc>
      </w:tr>
      <w:tr w:rsidR="00F12BFB">
        <w:trPr>
          <w:trHeight w:val="20"/>
        </w:trPr>
        <w:tc>
          <w:tcPr>
            <w:tcW w:w="5429" w:type="dxa"/>
            <w:tcBorders>
              <w:top w:val="nil"/>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Специализированная общественная застройка</w:t>
            </w:r>
          </w:p>
        </w:tc>
        <w:tc>
          <w:tcPr>
            <w:tcW w:w="2028" w:type="dxa"/>
            <w:tcBorders>
              <w:top w:val="nil"/>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0,8</w:t>
            </w:r>
          </w:p>
        </w:tc>
        <w:tc>
          <w:tcPr>
            <w:tcW w:w="2464" w:type="dxa"/>
            <w:tcBorders>
              <w:top w:val="nil"/>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2,4</w:t>
            </w:r>
          </w:p>
        </w:tc>
      </w:tr>
      <w:tr w:rsidR="00F12BFB">
        <w:trPr>
          <w:trHeight w:val="20"/>
        </w:trPr>
        <w:tc>
          <w:tcPr>
            <w:tcW w:w="9921" w:type="dxa"/>
            <w:gridSpan w:val="3"/>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F12BFB" w:rsidRDefault="00DA75E6">
            <w:pPr>
              <w:ind w:left="65" w:right="65"/>
              <w:rPr>
                <w:sz w:val="16"/>
              </w:rPr>
            </w:pPr>
            <w:r>
              <w:rPr>
                <w:sz w:val="16"/>
              </w:rPr>
              <w:t>Примечания</w:t>
            </w:r>
          </w:p>
          <w:p w:rsidR="00F12BFB" w:rsidRDefault="00DA75E6">
            <w:pPr>
              <w:ind w:left="65" w:right="65"/>
              <w:rPr>
                <w:sz w:val="16"/>
              </w:rPr>
            </w:pPr>
            <w:r>
              <w:rPr>
                <w:sz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12BFB" w:rsidRDefault="00DA75E6">
            <w:pPr>
              <w:ind w:left="65" w:right="65"/>
              <w:rPr>
                <w:sz w:val="16"/>
              </w:rPr>
            </w:pPr>
            <w:r>
              <w:rPr>
                <w:sz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12BFB" w:rsidRDefault="00DA75E6">
            <w:pPr>
              <w:ind w:left="65" w:right="65"/>
              <w:rPr>
                <w:sz w:val="16"/>
              </w:rPr>
            </w:pPr>
            <w:r>
              <w:rPr>
                <w:sz w:val="16"/>
              </w:rPr>
              <w:t>3 Границами кварталов являются красные линии.</w:t>
            </w:r>
          </w:p>
          <w:p w:rsidR="00F12BFB" w:rsidRDefault="00DA75E6">
            <w:pPr>
              <w:ind w:left="65" w:right="65"/>
              <w:rPr>
                <w:sz w:val="16"/>
              </w:rPr>
            </w:pPr>
            <w:r>
              <w:rPr>
                <w:sz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F12BFB" w:rsidRDefault="00DA75E6">
      <w:pPr>
        <w:pStyle w:val="ae"/>
        <w:ind w:left="0"/>
        <w:contextualSpacing/>
        <w:jc w:val="both"/>
        <w:rPr>
          <w:sz w:val="24"/>
        </w:rPr>
      </w:pPr>
      <w:r>
        <w:rPr>
          <w:sz w:val="24"/>
        </w:rPr>
        <w:tab/>
        <w:t>максимальное количество этажей надземной части зданий, строений, сооружений на территории земельных участков - 3 этажа;</w:t>
      </w:r>
    </w:p>
    <w:p w:rsidR="00F12BFB" w:rsidRDefault="00DA75E6">
      <w:pPr>
        <w:pStyle w:val="ae"/>
        <w:ind w:left="0"/>
        <w:contextualSpacing/>
        <w:jc w:val="both"/>
        <w:rPr>
          <w:sz w:val="24"/>
        </w:rPr>
      </w:pPr>
      <w:r>
        <w:rPr>
          <w:sz w:val="24"/>
        </w:rPr>
        <w:tab/>
        <w:t xml:space="preserve">максимальная высота от уровня земли: </w:t>
      </w:r>
    </w:p>
    <w:p w:rsidR="00F12BFB" w:rsidRDefault="007319FC">
      <w:pPr>
        <w:pStyle w:val="ae"/>
        <w:ind w:left="0"/>
        <w:contextualSpacing/>
        <w:jc w:val="both"/>
        <w:rPr>
          <w:sz w:val="24"/>
        </w:rPr>
      </w:pPr>
      <w:r>
        <w:rPr>
          <w:sz w:val="24"/>
        </w:rPr>
        <w:tab/>
      </w:r>
      <w:r w:rsidR="00DA75E6">
        <w:rPr>
          <w:sz w:val="24"/>
        </w:rPr>
        <w:t xml:space="preserve">- до верха плоской кровли - не более 12 м; </w:t>
      </w:r>
    </w:p>
    <w:p w:rsidR="00F12BFB" w:rsidRDefault="007319FC">
      <w:pPr>
        <w:pStyle w:val="ae"/>
        <w:ind w:left="0"/>
        <w:contextualSpacing/>
        <w:jc w:val="both"/>
        <w:rPr>
          <w:sz w:val="24"/>
        </w:rPr>
      </w:pPr>
      <w:r>
        <w:rPr>
          <w:sz w:val="24"/>
        </w:rPr>
        <w:tab/>
      </w:r>
      <w:r w:rsidR="00DA75E6">
        <w:rPr>
          <w:sz w:val="24"/>
        </w:rPr>
        <w:t>- до конька скатной кровли - не более 16 м;</w:t>
      </w:r>
    </w:p>
    <w:p w:rsidR="00F12BFB" w:rsidRDefault="007319FC">
      <w:pPr>
        <w:pStyle w:val="ae"/>
        <w:ind w:left="0"/>
        <w:contextualSpacing/>
        <w:jc w:val="both"/>
        <w:rPr>
          <w:sz w:val="24"/>
        </w:rPr>
      </w:pPr>
      <w:r>
        <w:rPr>
          <w:sz w:val="24"/>
        </w:rPr>
        <w:tab/>
      </w:r>
      <w:r w:rsidR="00DA75E6">
        <w:rPr>
          <w:sz w:val="24"/>
        </w:rPr>
        <w:t>- для всех вспомогательных строений высота от уровня земли до верха плоской кровли не более 4 м, до конька скатной кровли - не более 7 м.</w:t>
      </w:r>
    </w:p>
    <w:p w:rsidR="00F12BFB" w:rsidRDefault="00DA75E6">
      <w:pPr>
        <w:pStyle w:val="ae"/>
        <w:ind w:left="0"/>
        <w:contextualSpacing/>
        <w:jc w:val="both"/>
        <w:rPr>
          <w:sz w:val="24"/>
        </w:rPr>
      </w:pPr>
      <w:r>
        <w:rPr>
          <w:sz w:val="24"/>
        </w:rPr>
        <w:tab/>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12BFB" w:rsidRDefault="00DA75E6">
      <w:pPr>
        <w:pStyle w:val="ae"/>
        <w:ind w:left="0"/>
        <w:contextualSpacing/>
        <w:jc w:val="both"/>
        <w:rPr>
          <w:sz w:val="24"/>
        </w:rPr>
      </w:pPr>
      <w:r>
        <w:rPr>
          <w:sz w:val="24"/>
        </w:rPr>
        <w:tab/>
        <w:t>максимальный класс опасности объектов капитального строительства, размещаемых на территории зоны - V.</w:t>
      </w:r>
    </w:p>
    <w:p w:rsidR="00F12BFB" w:rsidRDefault="00DA75E6">
      <w:pPr>
        <w:pStyle w:val="ae"/>
        <w:ind w:left="0"/>
        <w:contextualSpacing/>
        <w:jc w:val="both"/>
        <w:rPr>
          <w:sz w:val="24"/>
        </w:rPr>
      </w:pPr>
      <w:r>
        <w:rPr>
          <w:b/>
          <w:sz w:val="24"/>
        </w:rPr>
        <w:tab/>
        <w:t>1.10. Цель предоставления земельного участка</w:t>
      </w:r>
      <w:r>
        <w:rPr>
          <w:sz w:val="24"/>
        </w:rPr>
        <w:t xml:space="preserve"> - для ведения личного подсобного хозяйства.</w:t>
      </w:r>
    </w:p>
    <w:p w:rsidR="00F12BFB" w:rsidRDefault="00DA75E6">
      <w:pPr>
        <w:pStyle w:val="ae"/>
        <w:spacing w:after="200"/>
        <w:ind w:left="0"/>
        <w:contextualSpacing/>
        <w:jc w:val="both"/>
        <w:rPr>
          <w:sz w:val="24"/>
        </w:rPr>
      </w:pPr>
      <w:r>
        <w:rPr>
          <w:b/>
          <w:sz w:val="24"/>
        </w:rPr>
        <w:tab/>
        <w:t>1.11. Осмотр земельного участка</w:t>
      </w:r>
      <w:r>
        <w:rPr>
          <w:sz w:val="24"/>
        </w:rPr>
        <w:t xml:space="preserve"> осуществляется заинтересованными лицами самостоятельно, либо с использованием транспорта заинтересованного лица в рабочие дни с </w:t>
      </w:r>
      <w:r w:rsidR="00416301">
        <w:rPr>
          <w:sz w:val="24"/>
        </w:rPr>
        <w:t>понедельника по пятницу с 10.0</w:t>
      </w:r>
      <w:r>
        <w:rPr>
          <w:sz w:val="24"/>
        </w:rPr>
        <w:t xml:space="preserve">2.2025г. по </w:t>
      </w:r>
      <w:r w:rsidR="00416301" w:rsidRPr="00416301">
        <w:rPr>
          <w:sz w:val="24"/>
        </w:rPr>
        <w:t>04.03.2025г</w:t>
      </w:r>
      <w:r>
        <w:rPr>
          <w:sz w:val="24"/>
        </w:rPr>
        <w:t xml:space="preserve">. с 10:00 час. до 16:00 час., по </w:t>
      </w:r>
      <w:r>
        <w:rPr>
          <w:sz w:val="24"/>
        </w:rPr>
        <w:lastRenderedPageBreak/>
        <w:t>предварительной договоренности, контактное лицо – Копылов Иван Иосифович, тел. +7(47156)2-13-83.</w:t>
      </w:r>
    </w:p>
    <w:p w:rsidR="00F12BFB" w:rsidRDefault="00DA75E6">
      <w:pPr>
        <w:pStyle w:val="ae"/>
        <w:spacing w:after="200"/>
        <w:ind w:left="0"/>
        <w:contextualSpacing/>
        <w:jc w:val="both"/>
        <w:rPr>
          <w:sz w:val="24"/>
        </w:rPr>
      </w:pPr>
      <w:r>
        <w:rPr>
          <w:b/>
          <w:sz w:val="24"/>
        </w:rPr>
        <w:tab/>
        <w:t>1.12.</w:t>
      </w:r>
      <w:r>
        <w:rPr>
          <w:sz w:val="24"/>
        </w:rPr>
        <w:t xml:space="preserve"> Информация о видах разрешенного использования земельного участка.</w:t>
      </w:r>
    </w:p>
    <w:p w:rsidR="00F12BFB" w:rsidRDefault="00DA75E6">
      <w:pPr>
        <w:pStyle w:val="ae"/>
        <w:spacing w:after="200"/>
        <w:ind w:left="0"/>
        <w:contextualSpacing/>
        <w:jc w:val="both"/>
        <w:rPr>
          <w:sz w:val="24"/>
        </w:rPr>
      </w:pPr>
      <w:r>
        <w:rPr>
          <w:sz w:val="24"/>
        </w:rPr>
        <w:tab/>
        <w:t>Описание вида разрешенного использования земельного участка (</w:t>
      </w:r>
      <w:r w:rsidR="00F73746" w:rsidRPr="00F73746">
        <w:rPr>
          <w:sz w:val="24"/>
        </w:rPr>
        <w:t>для ведения личного подсобного хозяйства</w:t>
      </w:r>
      <w:r>
        <w:rPr>
          <w:sz w:val="24"/>
        </w:rPr>
        <w:t>), который указан в разделе «Виды разрешенного использования» выписки из Единого государственного реестра недвижимости об объекте недвижимости, в соответствии с Правилами землепользования и застройки МО «</w:t>
      </w:r>
      <w:proofErr w:type="spellStart"/>
      <w:r>
        <w:rPr>
          <w:sz w:val="24"/>
        </w:rPr>
        <w:t>Малогородьковский</w:t>
      </w:r>
      <w:proofErr w:type="spellEnd"/>
      <w:r>
        <w:rPr>
          <w:sz w:val="24"/>
        </w:rPr>
        <w:t xml:space="preserve"> сельсовет» </w:t>
      </w:r>
      <w:proofErr w:type="spellStart"/>
      <w:r>
        <w:rPr>
          <w:sz w:val="24"/>
        </w:rPr>
        <w:t>Конышевского</w:t>
      </w:r>
      <w:proofErr w:type="spellEnd"/>
      <w:r>
        <w:rPr>
          <w:sz w:val="24"/>
        </w:rPr>
        <w:t xml:space="preserve"> района Курской области (Градостроительный регламент зоны застройки индивидуальными жилыми домами (Ж1)):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F12BFB" w:rsidRDefault="00DA75E6">
      <w:pPr>
        <w:pStyle w:val="ae"/>
        <w:ind w:left="0"/>
        <w:contextualSpacing/>
        <w:jc w:val="both"/>
        <w:rPr>
          <w:sz w:val="24"/>
        </w:rPr>
      </w:pPr>
      <w:r>
        <w:rPr>
          <w:sz w:val="24"/>
        </w:rPr>
        <w:tab/>
        <w:t>(Справочная) информация о всех видах разрешенного использования земельного участка, предусмотренных Правилами землепользования и застройки МО «</w:t>
      </w:r>
      <w:proofErr w:type="spellStart"/>
      <w:r>
        <w:rPr>
          <w:sz w:val="24"/>
        </w:rPr>
        <w:t>Малогородьковский</w:t>
      </w:r>
      <w:proofErr w:type="spellEnd"/>
      <w:r>
        <w:rPr>
          <w:sz w:val="24"/>
        </w:rPr>
        <w:t xml:space="preserve"> сельсовет» </w:t>
      </w:r>
      <w:proofErr w:type="spellStart"/>
      <w:r>
        <w:rPr>
          <w:sz w:val="24"/>
        </w:rPr>
        <w:t>Конышевского</w:t>
      </w:r>
      <w:proofErr w:type="spellEnd"/>
      <w:r>
        <w:rPr>
          <w:sz w:val="24"/>
        </w:rPr>
        <w:t xml:space="preserve"> района Курской области (Градостроительный регламент зоны застройки индивидуальными жилыми домами (Ж1)):</w:t>
      </w:r>
    </w:p>
    <w:tbl>
      <w:tblPr>
        <w:tblW w:w="10314" w:type="dxa"/>
        <w:tblLayout w:type="fixed"/>
        <w:tblLook w:val="04A0" w:firstRow="1" w:lastRow="0" w:firstColumn="1" w:lastColumn="0" w:noHBand="0" w:noVBand="1"/>
      </w:tblPr>
      <w:tblGrid>
        <w:gridCol w:w="2093"/>
        <w:gridCol w:w="4536"/>
        <w:gridCol w:w="1843"/>
        <w:gridCol w:w="1842"/>
      </w:tblGrid>
      <w:tr w:rsidR="00F12BFB" w:rsidTr="007319FC">
        <w:trPr>
          <w:trHeight w:val="2646"/>
        </w:trPr>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4"/>
              </w:rPr>
            </w:pPr>
            <w:r>
              <w:rPr>
                <w:sz w:val="24"/>
              </w:rPr>
              <w:t>Наименование вида разрешенного использования земельного участка (1)</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4"/>
              </w:rPr>
            </w:pPr>
            <w:r>
              <w:rPr>
                <w:sz w:val="24"/>
              </w:rPr>
              <w:t>Описание вида разрешенного использования земельного участка (2)</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4"/>
              </w:rPr>
            </w:pPr>
            <w:r>
              <w:rPr>
                <w:sz w:val="24"/>
              </w:rPr>
              <w:t>Код (числовое обозначение) вида разрешенного использования земельного участка (3)</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4"/>
              </w:rPr>
            </w:pPr>
            <w:r>
              <w:rPr>
                <w:sz w:val="24"/>
              </w:rPr>
              <w:t>Вид разрешенного использования земельного участка</w:t>
            </w:r>
          </w:p>
          <w:p w:rsidR="00F12BFB" w:rsidRDefault="00DA75E6">
            <w:pPr>
              <w:rPr>
                <w:sz w:val="24"/>
              </w:rPr>
            </w:pPr>
            <w:r>
              <w:rPr>
                <w:sz w:val="24"/>
              </w:rPr>
              <w:t xml:space="preserve">О - основной вид </w:t>
            </w:r>
            <w:proofErr w:type="gramStart"/>
            <w:r>
              <w:rPr>
                <w:sz w:val="24"/>
              </w:rPr>
              <w:t>разрешенного</w:t>
            </w:r>
            <w:proofErr w:type="gramEnd"/>
          </w:p>
          <w:p w:rsidR="00F12BFB" w:rsidRDefault="007319FC">
            <w:pPr>
              <w:rPr>
                <w:sz w:val="24"/>
              </w:rPr>
            </w:pPr>
            <w:r>
              <w:rPr>
                <w:sz w:val="24"/>
              </w:rPr>
              <w:t>и</w:t>
            </w:r>
            <w:r w:rsidR="00DA75E6">
              <w:rPr>
                <w:sz w:val="24"/>
              </w:rPr>
              <w:t>спользования</w:t>
            </w:r>
          </w:p>
          <w:p w:rsidR="00F12BFB" w:rsidRDefault="00DA75E6">
            <w:pPr>
              <w:rPr>
                <w:sz w:val="24"/>
              </w:rPr>
            </w:pPr>
            <w:r>
              <w:rPr>
                <w:sz w:val="24"/>
              </w:rPr>
              <w:t>У- условно разрешенный вид использования</w:t>
            </w:r>
          </w:p>
          <w:p w:rsidR="00F12BFB" w:rsidRDefault="00DA75E6">
            <w:pPr>
              <w:rPr>
                <w:sz w:val="24"/>
              </w:rPr>
            </w:pPr>
            <w:r>
              <w:rPr>
                <w:sz w:val="24"/>
              </w:rPr>
              <w:t>(4)</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1" w:name="RANGE!A4"/>
            <w:r>
              <w:rPr>
                <w:sz w:val="22"/>
              </w:rPr>
              <w:t>Жилая застройка</w:t>
            </w:r>
            <w:bookmarkEnd w:id="1"/>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2.0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 как способ обеспечения непрерывности производства (вахтовые помещения, служебные жилые помещения на производственных объектах);</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Содержание данного вида разрешенного использования включает в себя содержание видов разрешенного использования с кодами 2.1-2.7.1</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2" w:name="RANGE!A10"/>
            <w:r>
              <w:rPr>
                <w:sz w:val="22"/>
              </w:rPr>
              <w:t xml:space="preserve">Для индивидуального жилищного </w:t>
            </w:r>
            <w:r>
              <w:rPr>
                <w:sz w:val="22"/>
              </w:rPr>
              <w:lastRenderedPageBreak/>
              <w:t>строительства</w:t>
            </w:r>
            <w:bookmarkEnd w:id="2"/>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lastRenderedPageBreak/>
              <w:t xml:space="preserve">Размещение индивидуального жилого дома (дом, пригодный для постоянного проживания, </w:t>
            </w:r>
            <w:r>
              <w:rPr>
                <w:sz w:val="22"/>
              </w:rPr>
              <w:lastRenderedPageBreak/>
              <w:t>высотой не выше трех надземных этажей)</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lastRenderedPageBreak/>
              <w:t>2.1</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выращивание плодовых, ягодных, овощных, бахчевых или иных декоративных или</w:t>
            </w:r>
          </w:p>
          <w:p w:rsidR="00F12BFB" w:rsidRDefault="00DA75E6">
            <w:pPr>
              <w:rPr>
                <w:sz w:val="22"/>
              </w:rPr>
            </w:pPr>
            <w:r>
              <w:rPr>
                <w:sz w:val="22"/>
              </w:rPr>
              <w:t>сельскохозяйственных культур;</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индивидуальных гаражей и подсобных сооружений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524"/>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Малоэтажная многоквартирная жилая застройка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малоэтажного многоквартирного жилого дома, (дом, пригодный для постоянного проживания, высотой до 4 этажей, включая мансардный);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2.1.1</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62"/>
        </w:trPr>
        <w:tc>
          <w:tcPr>
            <w:tcW w:w="2093"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 разведение декоративных и  плодовых деревьев, овощных и ягодных культур;                                         </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rsidP="007319FC">
            <w:pPr>
              <w:jc w:val="center"/>
            </w:pPr>
          </w:p>
        </w:tc>
      </w:tr>
      <w:tr w:rsidR="00F12BFB" w:rsidTr="007319FC">
        <w:trPr>
          <w:trHeight w:val="1214"/>
        </w:trPr>
        <w:tc>
          <w:tcPr>
            <w:tcW w:w="2093"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155 общей площади помещений дома</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Для ведения личного подсобного хозяйства</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2.2</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производство сельскохозяйственной продукции;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гаража и иных вспомогательных сооружений;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содержание сельскохозяйственных животных</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3" w:name="RANGE!A18"/>
            <w:r>
              <w:rPr>
                <w:sz w:val="22"/>
              </w:rPr>
              <w:t>Блокированная жилая застройка</w:t>
            </w:r>
            <w:bookmarkEnd w:id="3"/>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2.3</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разведение декоративных и плодовых деревьев, овощных и ягодных культур</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индивидуальных гаражей и иных вспомогательных сооружений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обустройство спортивных и детских площадок, площадок отдыха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Передвижное жилье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2.4</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4" w:name="RANGE!A21"/>
            <w:proofErr w:type="spellStart"/>
            <w:r>
              <w:rPr>
                <w:sz w:val="22"/>
              </w:rPr>
              <w:t>Среднеэтажная</w:t>
            </w:r>
            <w:proofErr w:type="spellEnd"/>
            <w:r>
              <w:rPr>
                <w:sz w:val="22"/>
              </w:rPr>
              <w:t xml:space="preserve"> жилая </w:t>
            </w:r>
            <w:r>
              <w:rPr>
                <w:sz w:val="22"/>
              </w:rPr>
              <w:lastRenderedPageBreak/>
              <w:t>застройка</w:t>
            </w:r>
            <w:bookmarkEnd w:id="4"/>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lastRenderedPageBreak/>
              <w:t xml:space="preserve">Размещение жилых домов, предназначенных </w:t>
            </w:r>
            <w:r>
              <w:rPr>
                <w:sz w:val="22"/>
              </w:rPr>
              <w:lastRenderedPageBreak/>
              <w:t>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lastRenderedPageBreak/>
              <w:t>2.5</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У</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благоустройство и озеленение;</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подземных гаражей и автостоянок;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обустройство спортивных и детских площадок, площадок отдыха;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Обслуживание застройки жилой</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размещение которых предусмотрено видами разрешенного использования с кодами 3.1, 3.2, 3.3, 3.4, 3.4.1, 3.5.1,3.6,3.7,3.10.1,4.1,4.3,4.4,4.6,                                                     4.7.4.9,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5" w:name="Par165"/>
            <w:bookmarkEnd w:id="5"/>
            <w:r>
              <w:rPr>
                <w:sz w:val="22"/>
              </w:rPr>
              <w:t>2.7</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Объекты гаражного назначения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2.7.1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Общественное использование объектов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6" w:name="Par168"/>
            <w:bookmarkEnd w:id="6"/>
            <w:r>
              <w:rPr>
                <w:sz w:val="22"/>
              </w:rPr>
              <w:t>3.0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Коммунальное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7" w:name="RANGE!A29"/>
            <w:r>
              <w:rPr>
                <w:sz w:val="22"/>
              </w:rPr>
              <w:t xml:space="preserve">Социальное </w:t>
            </w:r>
            <w:r>
              <w:rPr>
                <w:sz w:val="22"/>
              </w:rPr>
              <w:lastRenderedPageBreak/>
              <w:t>обслуживание</w:t>
            </w:r>
            <w:bookmarkEnd w:id="7"/>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lastRenderedPageBreak/>
              <w:t xml:space="preserve">Размещение объектов капитального </w:t>
            </w:r>
            <w:r>
              <w:rPr>
                <w:sz w:val="22"/>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lastRenderedPageBreak/>
              <w:t>3.2</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для размещения отделений почты и телеграфа;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Бытовое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3.3</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Здравоохранение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3.4</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3.4.1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3.4.2</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станций скорой помощи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Образование и просвещение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w:t>
            </w:r>
            <w:r>
              <w:rPr>
                <w:sz w:val="22"/>
              </w:rPr>
              <w:lastRenderedPageBreak/>
              <w:t>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lastRenderedPageBreak/>
              <w:t>3.5</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3.5.1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иных организации, осуществляющие деятельность по образованию и просвещению)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3.5.2</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8" w:name="RANGE!A35"/>
            <w:r>
              <w:rPr>
                <w:sz w:val="22"/>
              </w:rPr>
              <w:t>Культурное развитие</w:t>
            </w:r>
            <w:bookmarkEnd w:id="8"/>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3.6</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устройство площадок для празднеств и гуляний;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зданий и сооружений для размещения цирков, зверинцев, зоопарков, океанариумов</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9" w:name="RANGE!A38"/>
            <w:r>
              <w:rPr>
                <w:sz w:val="22"/>
              </w:rPr>
              <w:t>Религиозное использование</w:t>
            </w:r>
            <w:bookmarkEnd w:id="9"/>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3.7</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У</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Общественное управление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w:t>
            </w:r>
            <w:r>
              <w:rPr>
                <w:sz w:val="22"/>
              </w:rPr>
              <w:lastRenderedPageBreak/>
              <w:t>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lastRenderedPageBreak/>
              <w:t>3.8</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Обеспечение научной деятельности</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3.9</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3.9.1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0" w:name="Par203"/>
            <w:bookmarkEnd w:id="10"/>
            <w:r>
              <w:rPr>
                <w:sz w:val="22"/>
              </w:rPr>
              <w:t>3.10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3.10.1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w:t>
            </w:r>
            <w:r>
              <w:rPr>
                <w:sz w:val="22"/>
              </w:rPr>
              <w:lastRenderedPageBreak/>
              <w:t>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lastRenderedPageBreak/>
              <w:t>3.10.2</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Предпринимательство</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4.1 - 4.9</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1" w:name="Par207"/>
            <w:bookmarkEnd w:id="11"/>
            <w:r>
              <w:rPr>
                <w:sz w:val="22"/>
              </w:rPr>
              <w:t>4.0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Деловое управление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2" w:name="Par210"/>
            <w:bookmarkEnd w:id="12"/>
            <w:r>
              <w:rPr>
                <w:sz w:val="22"/>
              </w:rPr>
              <w:t>4.1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13" w:name="RANGE!A45"/>
            <w:r>
              <w:rPr>
                <w:sz w:val="22"/>
              </w:rPr>
              <w:t>Рынки</w:t>
            </w:r>
            <w:bookmarkEnd w:id="13"/>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4.3</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У</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гаражей и (или) стоянок для автомобилей сотрудников и посетителей рынка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Магазины</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4.4</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Банковская и страховая деятельность</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предназначенных для размещения организаций, оказывающих банковские и страховые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4" w:name="Par225"/>
            <w:bookmarkEnd w:id="14"/>
            <w:r>
              <w:rPr>
                <w:sz w:val="22"/>
              </w:rPr>
              <w:t>4.5</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Общественное питание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4.6</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4.7</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Развлечения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w:t>
            </w:r>
            <w:r>
              <w:rPr>
                <w:sz w:val="22"/>
              </w:rPr>
              <w:lastRenderedPageBreak/>
              <w:t>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lastRenderedPageBreak/>
              <w:t>4.8</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Обслуживание автотранспорта</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5" w:name="Par239"/>
            <w:bookmarkEnd w:id="15"/>
            <w:r>
              <w:rPr>
                <w:sz w:val="22"/>
              </w:rPr>
              <w:t>4.9</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Объекты придорожного сервиса</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автозаправочных станций (бензиновых, газовых)</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4.9.1</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У</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предоставление гостиничных услуг в качестве придорожного сервиса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proofErr w:type="spellStart"/>
            <w:r>
              <w:rPr>
                <w:sz w:val="22"/>
              </w:rPr>
              <w:t>Выставочно</w:t>
            </w:r>
            <w:proofErr w:type="spellEnd"/>
            <w:r>
              <w:rPr>
                <w:sz w:val="22"/>
              </w:rPr>
              <w:t>-ярмарочная деятельность</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объектов капитального строительства, сооружений, предназначенных для осуществления </w:t>
            </w:r>
            <w:proofErr w:type="spellStart"/>
            <w:r>
              <w:rPr>
                <w:sz w:val="22"/>
              </w:rPr>
              <w:t>выставочно</w:t>
            </w:r>
            <w:proofErr w:type="spellEnd"/>
            <w:r>
              <w:rPr>
                <w:sz w:val="22"/>
              </w:rPr>
              <w:t xml:space="preserve">-ярмарочной и </w:t>
            </w:r>
            <w:proofErr w:type="spellStart"/>
            <w:r>
              <w:rPr>
                <w:sz w:val="22"/>
              </w:rPr>
              <w:t>конгрессной</w:t>
            </w:r>
            <w:proofErr w:type="spellEnd"/>
            <w:r>
              <w:rPr>
                <w:sz w:val="22"/>
              </w:rPr>
              <w:t xml:space="preserve"> деятельности, включая деятельность, необходимую для обслуживания указанных мероприятий (застройка экспозиционной площадки, организация питания участников мероприятий)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4.10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16" w:name="RANGE!A55"/>
            <w:r>
              <w:rPr>
                <w:sz w:val="22"/>
              </w:rPr>
              <w:t>Отдых (рекреация)</w:t>
            </w:r>
            <w:bookmarkEnd w:id="16"/>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5.0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Содержание данного вида разрешенного использования включает в себя содержание видов разрешенного использования с кодами 5.1 - 5.5</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Спорт</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bookmarkStart w:id="17" w:name="Par246"/>
            <w:bookmarkEnd w:id="17"/>
            <w:r>
              <w:rPr>
                <w:sz w:val="22"/>
              </w:rPr>
              <w:t>5.1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bookmarkStart w:id="18" w:name="RANGE!A58"/>
            <w:r>
              <w:rPr>
                <w:sz w:val="22"/>
              </w:rPr>
              <w:lastRenderedPageBreak/>
              <w:t>Природно-познавательный туризм</w:t>
            </w:r>
            <w:bookmarkEnd w:id="18"/>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5.2</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У</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 xml:space="preserve">осуществление необходимых природоохранных и </w:t>
            </w:r>
            <w:proofErr w:type="spellStart"/>
            <w:r>
              <w:rPr>
                <w:sz w:val="22"/>
              </w:rPr>
              <w:t>природовосстановительных</w:t>
            </w:r>
            <w:proofErr w:type="spellEnd"/>
            <w:r>
              <w:rPr>
                <w:sz w:val="22"/>
              </w:rPr>
              <w:t xml:space="preserve"> мероприятий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Туристическое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пансионатов, туристических гостиниц, кемпингов, домов отдыха, не оказывающих услуги по лечению, а так 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5.2.1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Охота и рыбалка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5.3</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Причалы для маломерных судов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5.4</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Поля для гольфа или конных прогулок</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Обустройство мест для игры в гольф или осуществление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5.5</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Энергетика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sz w:val="22"/>
              </w:rPr>
              <w:t>золоотвалов</w:t>
            </w:r>
            <w:proofErr w:type="spellEnd"/>
            <w:r>
              <w:rPr>
                <w:sz w:val="2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6.7</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Автомобильный транспорт</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 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 же для размещения депо ( устройство мест стоянок) автомобильного транспорта, осуществляющего перевозки людей по установленному маршруту</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7.2</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Водные объекты</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11.0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Общее пользование водными </w:t>
            </w:r>
            <w:r>
              <w:rPr>
                <w:sz w:val="22"/>
              </w:rPr>
              <w:lastRenderedPageBreak/>
              <w:t>объектами</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 xml:space="preserve">Использование земельных участков, примыкающих к водным объектам </w:t>
            </w:r>
            <w:r>
              <w:rPr>
                <w:sz w:val="22"/>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lastRenderedPageBreak/>
              <w:t>11.1</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lastRenderedPageBreak/>
              <w:t>Гидротехнические сооружения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sz w:val="22"/>
              </w:rPr>
              <w:t>рыбозащитных</w:t>
            </w:r>
            <w:proofErr w:type="spellEnd"/>
            <w:r>
              <w:rPr>
                <w:sz w:val="22"/>
              </w:rPr>
              <w:t xml:space="preserve"> и рыбопропускных сооружений, берегозащитных сооружений)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11.3</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У</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12.0</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О</w:t>
            </w:r>
          </w:p>
        </w:tc>
      </w:tr>
      <w:tr w:rsidR="00F12BFB" w:rsidTr="007319FC">
        <w:tc>
          <w:tcPr>
            <w:tcW w:w="2093"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Запас</w:t>
            </w:r>
          </w:p>
        </w:tc>
        <w:tc>
          <w:tcPr>
            <w:tcW w:w="4536" w:type="dxa"/>
            <w:tcBorders>
              <w:top w:val="single" w:sz="4" w:space="0" w:color="000000"/>
              <w:left w:val="single" w:sz="4" w:space="0" w:color="000000"/>
              <w:bottom w:val="single" w:sz="4" w:space="0" w:color="000000"/>
              <w:right w:val="single" w:sz="4" w:space="0" w:color="000000"/>
            </w:tcBorders>
            <w:vAlign w:val="center"/>
          </w:tcPr>
          <w:p w:rsidR="00F12BFB" w:rsidRDefault="00DA75E6">
            <w:pPr>
              <w:rPr>
                <w:sz w:val="22"/>
              </w:rPr>
            </w:pPr>
            <w:r>
              <w:rPr>
                <w:sz w:val="22"/>
              </w:rPr>
              <w:t>Отсутствие хозяйственной деятельности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12.3</w:t>
            </w:r>
          </w:p>
        </w:tc>
        <w:tc>
          <w:tcPr>
            <w:tcW w:w="1842" w:type="dxa"/>
            <w:tcBorders>
              <w:top w:val="single" w:sz="4" w:space="0" w:color="000000"/>
              <w:left w:val="single" w:sz="4" w:space="0" w:color="000000"/>
              <w:bottom w:val="single" w:sz="4" w:space="0" w:color="000000"/>
              <w:right w:val="single" w:sz="4" w:space="0" w:color="000000"/>
            </w:tcBorders>
            <w:vAlign w:val="center"/>
          </w:tcPr>
          <w:p w:rsidR="00F12BFB" w:rsidRDefault="00DA75E6" w:rsidP="007319FC">
            <w:pPr>
              <w:jc w:val="center"/>
              <w:rPr>
                <w:sz w:val="22"/>
              </w:rPr>
            </w:pPr>
            <w:r>
              <w:rPr>
                <w:sz w:val="22"/>
              </w:rPr>
              <w:t>В</w:t>
            </w: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Ведение огородничества</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Осуществление деятельности, связанной с выращиванием ягодных, овощных, бахчевых или иных сельскохозяйственных культур и картофеля;</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13.1</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Ведение садоводства</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13.2</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садового дома, предназначенного для отдыха и не подлежащего разделу на квартиры;</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хозяйственных строений и сооружений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Ведение дачного хозяйства</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13.3</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rsidP="007319FC">
            <w:pPr>
              <w:jc w:val="center"/>
              <w:rPr>
                <w:sz w:val="22"/>
              </w:rPr>
            </w:pPr>
            <w:r>
              <w:rPr>
                <w:sz w:val="22"/>
              </w:rPr>
              <w:t>О</w:t>
            </w: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r w:rsidR="00F12BFB" w:rsidTr="007319FC">
        <w:trPr>
          <w:trHeight w:val="20"/>
        </w:trPr>
        <w:tc>
          <w:tcPr>
            <w:tcW w:w="209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DA75E6">
            <w:pPr>
              <w:rPr>
                <w:sz w:val="22"/>
              </w:rPr>
            </w:pPr>
            <w:r>
              <w:rPr>
                <w:sz w:val="22"/>
              </w:rPr>
              <w:t>размещение хозяйственных строений и сооружений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12BFB" w:rsidRDefault="00F12BFB" w:rsidP="007319FC">
            <w:pPr>
              <w:jc w:val="center"/>
            </w:pPr>
          </w:p>
        </w:tc>
      </w:tr>
    </w:tbl>
    <w:p w:rsidR="00F12BFB" w:rsidRDefault="00DA75E6">
      <w:pPr>
        <w:ind w:firstLine="670"/>
        <w:jc w:val="both"/>
        <w:rPr>
          <w:sz w:val="24"/>
        </w:rPr>
      </w:pPr>
      <w:r>
        <w:rPr>
          <w:sz w:val="24"/>
        </w:rPr>
        <w:t xml:space="preserve">*Примечание: объекты видов использования, отмеченных в настоящей таблице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150 квадратных метров. В случае если общая площадь объектов капитального </w:t>
      </w:r>
      <w:r>
        <w:rPr>
          <w:sz w:val="24"/>
        </w:rPr>
        <w:lastRenderedPageBreak/>
        <w:t>строительства на соответствующих земельных участках превышает 150 квадратных метров, то объекты указанных видов использования относятся к условно разрешенным видам использования.</w:t>
      </w:r>
    </w:p>
    <w:p w:rsidR="00F12BFB" w:rsidRDefault="00F12BFB">
      <w:pPr>
        <w:ind w:firstLine="670"/>
        <w:jc w:val="both"/>
        <w:rPr>
          <w:sz w:val="24"/>
        </w:rPr>
      </w:pPr>
    </w:p>
    <w:p w:rsidR="00F12BFB" w:rsidRDefault="00DA75E6">
      <w:pPr>
        <w:ind w:firstLine="670"/>
        <w:jc w:val="center"/>
        <w:rPr>
          <w:b/>
          <w:sz w:val="24"/>
          <w:u w:val="single"/>
        </w:rPr>
      </w:pPr>
      <w:r>
        <w:rPr>
          <w:b/>
          <w:sz w:val="24"/>
          <w:u w:val="single"/>
        </w:rPr>
        <w:t xml:space="preserve">2. Регистрация (аккредитация) заявителей на электронной площадке </w:t>
      </w:r>
    </w:p>
    <w:p w:rsidR="00F12BFB" w:rsidRDefault="00DA75E6">
      <w:pPr>
        <w:ind w:firstLine="670"/>
        <w:jc w:val="center"/>
        <w:rPr>
          <w:b/>
          <w:sz w:val="24"/>
          <w:u w:val="single"/>
        </w:rPr>
      </w:pPr>
      <w:r>
        <w:rPr>
          <w:b/>
          <w:sz w:val="24"/>
          <w:u w:val="single"/>
        </w:rPr>
        <w:t>для участия в торгах. Электронный документооборот</w:t>
      </w:r>
    </w:p>
    <w:p w:rsidR="00F12BFB" w:rsidRDefault="00F12BFB">
      <w:pPr>
        <w:ind w:firstLine="670"/>
        <w:jc w:val="both"/>
        <w:rPr>
          <w:b/>
          <w:sz w:val="24"/>
          <w:u w:val="single"/>
        </w:rPr>
      </w:pPr>
    </w:p>
    <w:p w:rsidR="00F12BFB" w:rsidRDefault="00DA75E6">
      <w:pPr>
        <w:ind w:firstLine="670"/>
        <w:jc w:val="both"/>
        <w:rPr>
          <w:sz w:val="24"/>
        </w:rPr>
      </w:pPr>
      <w:r>
        <w:rPr>
          <w:sz w:val="24"/>
        </w:rPr>
        <w:t>2.1. 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rsidR="00F12BFB" w:rsidRDefault="00DA75E6">
      <w:pPr>
        <w:ind w:firstLine="670"/>
        <w:jc w:val="both"/>
        <w:rPr>
          <w:sz w:val="24"/>
        </w:rPr>
      </w:pPr>
      <w:r>
        <w:rPr>
          <w:sz w:val="24"/>
        </w:rPr>
        <w:t>Согласно п. 1.4.1 Регламента Т</w:t>
      </w:r>
      <w:r>
        <w:rPr>
          <w:rStyle w:val="1f8"/>
          <w:color w:val="000000"/>
          <w:sz w:val="24"/>
          <w:u w:val="none"/>
        </w:rPr>
        <w:t xml:space="preserve">орговой секции «Приватизация, аренда и продажа прав» Универсальной торговой платформы АО «Сбербанк-АСТ» </w:t>
      </w:r>
      <w:r>
        <w:rPr>
          <w:sz w:val="24"/>
        </w:rPr>
        <w:t>(далее – Регламент ТС «Приватизация, аренда и продажа прав») порядок доступа к функционалу ТС (Т</w:t>
      </w:r>
      <w:r>
        <w:rPr>
          <w:rStyle w:val="1f8"/>
          <w:color w:val="000000"/>
          <w:sz w:val="24"/>
          <w:u w:val="none"/>
        </w:rPr>
        <w:t>орговой секции «Приватизация, аренда и продажа прав» Универсальной торговой платформы АО «Сбербанк-АСТ»</w:t>
      </w:r>
      <w:r>
        <w:rPr>
          <w:sz w:val="24"/>
        </w:rPr>
        <w:t>),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 Регламента УТП.</w:t>
      </w:r>
    </w:p>
    <w:p w:rsidR="00F12BFB" w:rsidRDefault="00DA75E6">
      <w:pPr>
        <w:ind w:firstLine="670"/>
        <w:jc w:val="both"/>
        <w:rPr>
          <w:sz w:val="24"/>
        </w:rPr>
      </w:pPr>
      <w:r>
        <w:rPr>
          <w:sz w:val="24"/>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rsidR="00F12BFB" w:rsidRDefault="00DA75E6">
      <w:pPr>
        <w:ind w:firstLine="670"/>
        <w:jc w:val="both"/>
        <w:rPr>
          <w:sz w:val="24"/>
        </w:rPr>
      </w:pPr>
      <w:r>
        <w:rPr>
          <w:sz w:val="24"/>
        </w:rPr>
        <w:t xml:space="preserve">Примечание: </w:t>
      </w:r>
    </w:p>
    <w:p w:rsidR="00F12BFB" w:rsidRDefault="00DA75E6">
      <w:pPr>
        <w:ind w:firstLine="670"/>
        <w:jc w:val="both"/>
        <w:rPr>
          <w:i/>
          <w:sz w:val="24"/>
        </w:rPr>
      </w:pPr>
      <w:r>
        <w:rPr>
          <w:i/>
          <w:sz w:val="24"/>
        </w:rPr>
        <w:t>В контексте данного Регламента УТП:</w:t>
      </w:r>
    </w:p>
    <w:p w:rsidR="00F12BFB" w:rsidRDefault="00DA75E6">
      <w:pPr>
        <w:ind w:firstLine="670"/>
        <w:jc w:val="both"/>
        <w:rPr>
          <w:i/>
          <w:sz w:val="24"/>
        </w:rPr>
      </w:pPr>
      <w:r>
        <w:rPr>
          <w:i/>
          <w:sz w:val="24"/>
        </w:rPr>
        <w:t>«Заявитель» – любое физическое лицо, желающее пройти процедуру регистрации на универсальной торговой платформе.</w:t>
      </w:r>
    </w:p>
    <w:p w:rsidR="00F12BFB" w:rsidRDefault="00DA75E6">
      <w:pPr>
        <w:ind w:firstLine="670"/>
        <w:jc w:val="both"/>
        <w:rPr>
          <w:i/>
          <w:sz w:val="24"/>
        </w:rPr>
      </w:pPr>
      <w:r>
        <w:rPr>
          <w:i/>
          <w:sz w:val="24"/>
        </w:rPr>
        <w:t>«Пользователь» – любое физическое лицо,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rsidR="00F12BFB" w:rsidRDefault="00DA75E6">
      <w:pPr>
        <w:ind w:firstLine="670"/>
        <w:jc w:val="both"/>
        <w:rPr>
          <w:sz w:val="24"/>
        </w:rPr>
      </w:pPr>
      <w:r>
        <w:rPr>
          <w:sz w:val="24"/>
        </w:rPr>
        <w:t>Согласно п. 10.2.1 Регламента УТП</w:t>
      </w:r>
      <w:proofErr w:type="gramStart"/>
      <w:r>
        <w:rPr>
          <w:sz w:val="24"/>
        </w:rPr>
        <w:t xml:space="preserve"> Д</w:t>
      </w:r>
      <w:proofErr w:type="gramEnd"/>
      <w:r>
        <w:rPr>
          <w:sz w:val="24"/>
        </w:rPr>
        <w:t>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rsidR="00F12BFB" w:rsidRDefault="00DA75E6">
      <w:pPr>
        <w:ind w:firstLine="670"/>
        <w:jc w:val="both"/>
        <w:rPr>
          <w:sz w:val="24"/>
        </w:rPr>
      </w:pPr>
      <w:r>
        <w:rPr>
          <w:sz w:val="24"/>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rsidR="00F12BFB" w:rsidRDefault="00DA75E6">
      <w:pPr>
        <w:ind w:firstLine="670"/>
        <w:jc w:val="both"/>
        <w:rPr>
          <w:sz w:val="24"/>
        </w:rPr>
      </w:pPr>
      <w:r>
        <w:rPr>
          <w:sz w:val="24"/>
        </w:rPr>
        <w:t>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владельца сертификата ключа проверки электронной подписи и оттиску печати Пользователя системы при выполнении условий, определенных Федеральным законом от 06.04.2011г. №63-ФЗ «Об электронной подписи».</w:t>
      </w:r>
    </w:p>
    <w:p w:rsidR="00F12BFB" w:rsidRDefault="00DA75E6">
      <w:pPr>
        <w:ind w:firstLine="670"/>
        <w:jc w:val="both"/>
        <w:rPr>
          <w:sz w:val="24"/>
        </w:rPr>
      </w:pPr>
      <w:r>
        <w:rPr>
          <w:sz w:val="24"/>
        </w:rPr>
        <w:t>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rsidR="00F12BFB" w:rsidRDefault="00DA75E6">
      <w:pPr>
        <w:ind w:firstLine="670"/>
        <w:jc w:val="both"/>
        <w:rPr>
          <w:sz w:val="24"/>
        </w:rPr>
      </w:pPr>
      <w:r>
        <w:rPr>
          <w:sz w:val="24"/>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rsidR="00F12BFB" w:rsidRDefault="00DA75E6">
      <w:pPr>
        <w:ind w:firstLine="670"/>
        <w:jc w:val="both"/>
        <w:rPr>
          <w:sz w:val="24"/>
        </w:rPr>
      </w:pPr>
      <w:r>
        <w:rPr>
          <w:sz w:val="24"/>
        </w:rPr>
        <w:t>В качестве средств электронной подписи пользователи должны использовать «Крипто Про CSP» версии с не истекшим сроком действия сертификата соответствия.</w:t>
      </w:r>
    </w:p>
    <w:p w:rsidR="00F12BFB" w:rsidRDefault="00DA75E6">
      <w:pPr>
        <w:ind w:firstLine="670"/>
        <w:jc w:val="both"/>
        <w:rPr>
          <w:sz w:val="24"/>
        </w:rPr>
      </w:pPr>
      <w:r>
        <w:rPr>
          <w:sz w:val="24"/>
        </w:rPr>
        <w:lastRenderedPageBreak/>
        <w:t>2.2. Для регистрации в ТС пользователь должен быть зарегистрирован на УТП (</w:t>
      </w:r>
      <w:r>
        <w:rPr>
          <w:rStyle w:val="1f8"/>
          <w:color w:val="000000"/>
          <w:sz w:val="24"/>
          <w:u w:val="none"/>
        </w:rPr>
        <w:t>Универсальной торговой платформе АО «Сбербанк-АСТ»)</w:t>
      </w:r>
      <w:r>
        <w:rPr>
          <w:sz w:val="24"/>
        </w:rPr>
        <w:t xml:space="preserve">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rsidR="00F12BFB" w:rsidRDefault="00DA75E6">
      <w:pPr>
        <w:ind w:firstLine="670"/>
        <w:jc w:val="both"/>
        <w:rPr>
          <w:sz w:val="24"/>
        </w:rPr>
      </w:pPr>
      <w:r>
        <w:rPr>
          <w:sz w:val="24"/>
        </w:rPr>
        <w:t>2.3. Регистрация в ТС осуществляется с применением усиленной квалифицированной электронной подписи (далее – ЭП) (физическими лицами).</w:t>
      </w:r>
    </w:p>
    <w:p w:rsidR="00F12BFB" w:rsidRDefault="00DA75E6">
      <w:pPr>
        <w:ind w:firstLine="670"/>
        <w:jc w:val="both"/>
        <w:rPr>
          <w:sz w:val="24"/>
        </w:rPr>
      </w:pPr>
      <w:r>
        <w:rPr>
          <w:sz w:val="24"/>
        </w:rPr>
        <w:t>2.4. Для регистрации в ТС пользователь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rsidR="00F12BFB" w:rsidRDefault="00DA75E6">
      <w:pPr>
        <w:ind w:firstLine="670"/>
        <w:jc w:val="both"/>
        <w:rPr>
          <w:sz w:val="24"/>
        </w:rPr>
      </w:pPr>
      <w:r>
        <w:rPr>
          <w:sz w:val="24"/>
        </w:rPr>
        <w:t>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в ТС с ЭП.</w:t>
      </w:r>
    </w:p>
    <w:p w:rsidR="00F12BFB" w:rsidRDefault="00DA75E6">
      <w:pPr>
        <w:ind w:firstLine="670"/>
        <w:jc w:val="both"/>
        <w:rPr>
          <w:sz w:val="24"/>
        </w:rPr>
      </w:pPr>
      <w:r>
        <w:rPr>
          <w:sz w:val="24"/>
        </w:rPr>
        <w:t>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в ТС.</w:t>
      </w:r>
    </w:p>
    <w:p w:rsidR="00F12BFB" w:rsidRDefault="00DA75E6">
      <w:pPr>
        <w:ind w:firstLine="670"/>
        <w:jc w:val="both"/>
        <w:rPr>
          <w:sz w:val="24"/>
        </w:rPr>
      </w:pPr>
      <w:r>
        <w:rPr>
          <w:sz w:val="24"/>
        </w:rPr>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rsidR="00F12BFB" w:rsidRDefault="00DA75E6">
      <w:pPr>
        <w:ind w:firstLine="670"/>
        <w:jc w:val="both"/>
        <w:rPr>
          <w:sz w:val="24"/>
        </w:rPr>
      </w:pPr>
      <w:r>
        <w:rPr>
          <w:sz w:val="24"/>
        </w:rPr>
        <w:t>2.7. Регистрация пользователей и обеспечение доступа к размещенной в ТС информации производится Оператором без взимания платы.</w:t>
      </w:r>
    </w:p>
    <w:p w:rsidR="00F12BFB" w:rsidRDefault="00DA75E6">
      <w:pPr>
        <w:ind w:firstLine="670"/>
        <w:jc w:val="both"/>
        <w:rPr>
          <w:sz w:val="24"/>
        </w:rPr>
      </w:pPr>
      <w:r>
        <w:rPr>
          <w:sz w:val="24"/>
        </w:rPr>
        <w:t>2.8. Заявление на регистрацию в ТС с полномочиями «Претендент (Участник)» вправе подать пользователь, зарегистрированный на УТП с ЭП, являющийся физическим лицом.</w:t>
      </w:r>
    </w:p>
    <w:p w:rsidR="00F12BFB" w:rsidRDefault="00DA75E6">
      <w:pPr>
        <w:ind w:firstLine="670"/>
        <w:jc w:val="both"/>
        <w:rPr>
          <w:sz w:val="24"/>
        </w:rPr>
      </w:pPr>
      <w:r>
        <w:rPr>
          <w:sz w:val="24"/>
        </w:rPr>
        <w:t>2.9. Регистрация пользователя в ТС в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rsidR="00F12BFB" w:rsidRDefault="00DA75E6">
      <w:pPr>
        <w:ind w:firstLine="670"/>
        <w:jc w:val="both"/>
        <w:rPr>
          <w:sz w:val="24"/>
        </w:rPr>
      </w:pPr>
      <w:r>
        <w:rPr>
          <w:sz w:val="24"/>
        </w:rPr>
        <w:t>2.10. Согласно разделу 2.5 «Особенности регистрации в ТС пользователей, имеющих регистрацию в Единой информационной системе в сфере закупок» Регламента Т</w:t>
      </w:r>
      <w:r>
        <w:rPr>
          <w:rStyle w:val="1f8"/>
          <w:color w:val="000000"/>
          <w:sz w:val="24"/>
          <w:u w:val="none"/>
        </w:rPr>
        <w:t>орговой секции «Приватизация, аренда и продажа прав»</w:t>
      </w:r>
      <w:r>
        <w:rPr>
          <w:sz w:val="24"/>
        </w:rPr>
        <w:t xml:space="preserve">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
    <w:p w:rsidR="00F12BFB" w:rsidRDefault="00DA75E6">
      <w:pPr>
        <w:ind w:firstLine="670"/>
        <w:jc w:val="both"/>
        <w:rPr>
          <w:sz w:val="24"/>
        </w:rPr>
      </w:pPr>
      <w:r>
        <w:rPr>
          <w:sz w:val="24"/>
        </w:rPr>
        <w:t>1) присоединяются к регламенту УТП в порядке, установленном пунктом 12.1.6 Регламента УТП;</w:t>
      </w:r>
    </w:p>
    <w:p w:rsidR="00F12BFB" w:rsidRDefault="00DA75E6">
      <w:pPr>
        <w:ind w:firstLine="670"/>
        <w:jc w:val="both"/>
        <w:rPr>
          <w:sz w:val="24"/>
        </w:rPr>
      </w:pPr>
      <w:r>
        <w:rPr>
          <w:sz w:val="24"/>
        </w:rPr>
        <w:t>2) присоединяются к регламенту ТС посредством штатного интерфейса УТП.</w:t>
      </w:r>
    </w:p>
    <w:p w:rsidR="00F12BFB" w:rsidRDefault="00DA75E6">
      <w:pPr>
        <w:ind w:firstLine="670"/>
        <w:jc w:val="both"/>
        <w:rPr>
          <w:sz w:val="24"/>
        </w:rPr>
      </w:pPr>
      <w:r>
        <w:rPr>
          <w:sz w:val="24"/>
        </w:rPr>
        <w:t>После подписания заявления о присоединении к регламенту ТС, Оператор открывает такому пользователю полный доступ к функционалу ТС.</w:t>
      </w:r>
    </w:p>
    <w:p w:rsidR="00F12BFB" w:rsidRDefault="00DA75E6">
      <w:pPr>
        <w:ind w:firstLine="670"/>
        <w:jc w:val="both"/>
        <w:rPr>
          <w:sz w:val="24"/>
        </w:rPr>
      </w:pPr>
      <w:r>
        <w:rPr>
          <w:sz w:val="24"/>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rsidR="00F12BFB" w:rsidRDefault="00DA75E6">
      <w:pPr>
        <w:ind w:firstLine="670"/>
        <w:jc w:val="both"/>
        <w:rPr>
          <w:rStyle w:val="1f8"/>
          <w:color w:val="000000"/>
          <w:sz w:val="24"/>
          <w:u w:val="none"/>
        </w:rPr>
      </w:pPr>
      <w:r>
        <w:rPr>
          <w:sz w:val="24"/>
        </w:rPr>
        <w:t>2.11. Согласно разделу 2.6 «Особенности регистрации в ТС пользователей, имеющих регистрацию в ГИС Торги» Регламента Т</w:t>
      </w:r>
      <w:r>
        <w:rPr>
          <w:rStyle w:val="1f8"/>
          <w:color w:val="000000"/>
          <w:sz w:val="24"/>
          <w:u w:val="none"/>
        </w:rPr>
        <w:t>орговой секции «Приватизация, аренда и продажа прав» пользователи, зарегистрированные в ГИС Торги в Реестре участников торгов присоединяются к регламенту УТП в порядке, аналогичном порядку, установленному в пункте 12.1.6 Регламента УТП.</w:t>
      </w:r>
    </w:p>
    <w:p w:rsidR="00F12BFB" w:rsidRDefault="00DA75E6">
      <w:pPr>
        <w:ind w:firstLine="670"/>
        <w:jc w:val="both"/>
        <w:rPr>
          <w:rStyle w:val="1f8"/>
          <w:color w:val="000000"/>
          <w:sz w:val="24"/>
          <w:u w:val="none"/>
        </w:rPr>
      </w:pPr>
      <w:r>
        <w:rPr>
          <w:rStyle w:val="1f8"/>
          <w:color w:val="000000"/>
          <w:sz w:val="24"/>
          <w:u w:val="none"/>
        </w:rPr>
        <w:t>Присоединение к регламенту УТП осуществляется уполномоченным на подписание договоров представителем пользователя.</w:t>
      </w:r>
    </w:p>
    <w:p w:rsidR="00F12BFB" w:rsidRDefault="00DA75E6">
      <w:pPr>
        <w:ind w:firstLine="670"/>
        <w:jc w:val="both"/>
        <w:rPr>
          <w:sz w:val="24"/>
        </w:rPr>
      </w:pPr>
      <w:r>
        <w:rPr>
          <w:sz w:val="24"/>
        </w:rPr>
        <w:t>После подписания заявления о присоединении к Регламенту УТП пользователю открывается полный доступ к функционалу УТП.</w:t>
      </w:r>
    </w:p>
    <w:p w:rsidR="00F12BFB" w:rsidRDefault="00DA75E6">
      <w:pPr>
        <w:ind w:firstLine="670"/>
        <w:jc w:val="both"/>
        <w:rPr>
          <w:sz w:val="24"/>
        </w:rPr>
      </w:pPr>
      <w:r>
        <w:rPr>
          <w:sz w:val="24"/>
        </w:rPr>
        <w:t>После подписания заявления о присоединении к Регламенту ТС пользователю открывается полный доступ к функционалу ТС.</w:t>
      </w:r>
    </w:p>
    <w:p w:rsidR="00F12BFB" w:rsidRDefault="00F12BFB">
      <w:pPr>
        <w:ind w:firstLine="670"/>
        <w:jc w:val="center"/>
        <w:rPr>
          <w:b/>
          <w:sz w:val="24"/>
          <w:u w:val="single"/>
        </w:rPr>
      </w:pPr>
    </w:p>
    <w:p w:rsidR="00F12BFB" w:rsidRDefault="00DA75E6">
      <w:pPr>
        <w:ind w:firstLine="670"/>
        <w:jc w:val="center"/>
        <w:rPr>
          <w:b/>
          <w:spacing w:val="-6"/>
          <w:sz w:val="24"/>
          <w:u w:val="single"/>
        </w:rPr>
      </w:pPr>
      <w:r>
        <w:rPr>
          <w:b/>
          <w:spacing w:val="-6"/>
          <w:sz w:val="24"/>
          <w:u w:val="single"/>
        </w:rPr>
        <w:t xml:space="preserve">3. Порядок внесения, возврата задатка, а также его зачисления </w:t>
      </w:r>
    </w:p>
    <w:p w:rsidR="00F12BFB" w:rsidRDefault="00DA75E6">
      <w:pPr>
        <w:ind w:firstLine="670"/>
        <w:jc w:val="center"/>
        <w:rPr>
          <w:b/>
          <w:spacing w:val="-6"/>
          <w:sz w:val="24"/>
          <w:u w:val="single"/>
        </w:rPr>
      </w:pPr>
      <w:r>
        <w:rPr>
          <w:b/>
          <w:spacing w:val="-6"/>
          <w:sz w:val="24"/>
          <w:u w:val="single"/>
        </w:rPr>
        <w:t>на счет Заявителя (Участника) и Организатора торгов (Арендодателя)</w:t>
      </w:r>
    </w:p>
    <w:p w:rsidR="00F12BFB" w:rsidRDefault="00F12BFB">
      <w:pPr>
        <w:ind w:firstLine="670"/>
        <w:jc w:val="center"/>
        <w:rPr>
          <w:b/>
          <w:spacing w:val="-6"/>
          <w:sz w:val="24"/>
          <w:u w:val="single"/>
        </w:rPr>
      </w:pPr>
    </w:p>
    <w:p w:rsidR="00F12BFB" w:rsidRPr="007319FC" w:rsidRDefault="00DA75E6">
      <w:pPr>
        <w:ind w:firstLine="670"/>
        <w:jc w:val="both"/>
        <w:rPr>
          <w:b/>
          <w:color w:val="auto"/>
          <w:spacing w:val="-6"/>
          <w:sz w:val="24"/>
          <w:u w:val="single"/>
        </w:rPr>
      </w:pPr>
      <w:r>
        <w:rPr>
          <w:b/>
          <w:spacing w:val="-6"/>
          <w:sz w:val="24"/>
        </w:rPr>
        <w:t xml:space="preserve">3.1. Порядок внесения задатка и его возврата, а также его зачисления на счет Заявителя (участника) и Организатора торгов (Арендодателя) </w:t>
      </w:r>
      <w:r>
        <w:rPr>
          <w:spacing w:val="-6"/>
          <w:sz w:val="24"/>
        </w:rPr>
        <w:t xml:space="preserve">(по результатам торгов) определяется в соответствии с </w:t>
      </w:r>
      <w:r>
        <w:rPr>
          <w:sz w:val="24"/>
        </w:rPr>
        <w:t xml:space="preserve">Регламентом торговой секции «Приватизация, аренда и продажа прав» </w:t>
      </w:r>
      <w:r w:rsidRPr="007319FC">
        <w:rPr>
          <w:color w:val="auto"/>
          <w:sz w:val="24"/>
        </w:rPr>
        <w:t>Универсальной торговой платформы (УТП) АО «Сбербанк-АСТ» utp.sberbank-ast.ru (в ред. от 23.10.2025г.), размещённом на сайте электронной площадки по адресу: https://utp.sberbank-ast.ru/AP/Notice/1027/Instructions</w:t>
      </w:r>
      <w:r w:rsidRPr="007319FC">
        <w:rPr>
          <w:color w:val="auto"/>
          <w:spacing w:val="-6"/>
          <w:sz w:val="24"/>
        </w:rPr>
        <w:t xml:space="preserve">, </w:t>
      </w:r>
      <w:r w:rsidRPr="007319FC">
        <w:rPr>
          <w:color w:val="auto"/>
          <w:sz w:val="24"/>
        </w:rPr>
        <w:t xml:space="preserve">требованиями, размещенными на странице «Банковские реквизиты» </w:t>
      </w:r>
      <w:r w:rsidRPr="007319FC">
        <w:rPr>
          <w:color w:val="auto"/>
          <w:spacing w:val="-6"/>
          <w:sz w:val="24"/>
        </w:rPr>
        <w:t xml:space="preserve">сайта электронной площадки </w:t>
      </w:r>
      <w:r w:rsidRPr="007319FC">
        <w:rPr>
          <w:color w:val="auto"/>
          <w:sz w:val="24"/>
        </w:rPr>
        <w:t xml:space="preserve">по адресу: </w:t>
      </w:r>
      <w:hyperlink r:id="rId13" w:history="1">
        <w:r w:rsidRPr="007319FC">
          <w:rPr>
            <w:color w:val="auto"/>
            <w:sz w:val="24"/>
            <w:u w:val="single"/>
          </w:rPr>
          <w:t>http://utp.sberbank-ast.ru/AP/Notice/653/Requisites</w:t>
        </w:r>
      </w:hyperlink>
      <w:r w:rsidRPr="007319FC">
        <w:rPr>
          <w:color w:val="auto"/>
          <w:sz w:val="24"/>
        </w:rPr>
        <w:t xml:space="preserve"> </w:t>
      </w:r>
      <w:r w:rsidRPr="007319FC">
        <w:rPr>
          <w:color w:val="auto"/>
          <w:spacing w:val="-6"/>
          <w:sz w:val="24"/>
        </w:rPr>
        <w:t>и настоящим извещением о проведении электронного аукциона.</w:t>
      </w:r>
    </w:p>
    <w:p w:rsidR="00F12BFB" w:rsidRPr="007319FC" w:rsidRDefault="00DA75E6">
      <w:pPr>
        <w:tabs>
          <w:tab w:val="left" w:pos="1134"/>
        </w:tabs>
        <w:ind w:firstLine="670"/>
        <w:jc w:val="both"/>
        <w:rPr>
          <w:color w:val="auto"/>
          <w:sz w:val="24"/>
        </w:rPr>
      </w:pPr>
      <w:r w:rsidRPr="007319FC">
        <w:rPr>
          <w:color w:val="auto"/>
          <w:sz w:val="24"/>
        </w:rPr>
        <w:t xml:space="preserve">3.2. Согласно требованиям, размещенными на странице «Банковские реквизиты» сайта электронной площадки по адресу: </w:t>
      </w:r>
      <w:hyperlink r:id="rId14" w:history="1">
        <w:r w:rsidRPr="007319FC">
          <w:rPr>
            <w:rStyle w:val="1f8"/>
            <w:color w:val="auto"/>
            <w:sz w:val="24"/>
          </w:rPr>
          <w:t>http://utp.sberbank-ast.ru/AP/Notice/653/Requisites</w:t>
        </w:r>
      </w:hyperlink>
      <w:r w:rsidRPr="007319FC">
        <w:rPr>
          <w:color w:val="auto"/>
          <w:sz w:val="24"/>
        </w:rPr>
        <w:t>, перед внесением денежных средств в качестве задатка заявителю необходимо получить информацию об объеме денежных средств, необходимых для участия в электронной процедуре. При необходимости перечисления денежных средств с целью их использования в нескольких электронных процедурах возможно заполнять одно платежное поручение на общую сумму.</w:t>
      </w:r>
    </w:p>
    <w:p w:rsidR="00F12BFB" w:rsidRDefault="00DA75E6">
      <w:pPr>
        <w:tabs>
          <w:tab w:val="left" w:pos="1134"/>
        </w:tabs>
        <w:ind w:firstLine="670"/>
        <w:jc w:val="both"/>
        <w:rPr>
          <w:sz w:val="24"/>
        </w:rPr>
      </w:pPr>
      <w:r w:rsidRPr="007319FC">
        <w:rPr>
          <w:color w:val="auto"/>
          <w:sz w:val="24"/>
        </w:rPr>
        <w:t>При внесении денежных средств в качестве задатка Претендентом</w:t>
      </w:r>
      <w:r>
        <w:rPr>
          <w:rStyle w:val="1c"/>
          <w:sz w:val="24"/>
        </w:rPr>
        <w:footnoteReference w:id="4"/>
      </w:r>
      <w:r>
        <w:rPr>
          <w:sz w:val="24"/>
        </w:rPr>
        <w:t xml:space="preserve"> в назначении платежа им указывается формулировка, предусмотренная требованиями, размещенными на странице «Банковские реквизиты» </w:t>
      </w:r>
      <w:r>
        <w:rPr>
          <w:spacing w:val="-6"/>
          <w:sz w:val="24"/>
        </w:rPr>
        <w:t>сайта электронной площадки</w:t>
      </w:r>
      <w:r>
        <w:rPr>
          <w:sz w:val="24"/>
        </w:rPr>
        <w:t>: в назначении платежа обязательно указывать одну или несколько целей перечисления – «Задаток», «Обеспечение оплаты услуг оператора», «Сбор за участие», а также «Без НДС» либо «НДС не облагается». В случае оплаты физ. лицом, в назначении платежа необходимо обязательно указывать ИНН плательщика.</w:t>
      </w:r>
    </w:p>
    <w:p w:rsidR="00F12BFB" w:rsidRPr="007319FC" w:rsidRDefault="00DA75E6">
      <w:pPr>
        <w:tabs>
          <w:tab w:val="left" w:pos="1134"/>
        </w:tabs>
        <w:ind w:firstLine="670"/>
        <w:jc w:val="both"/>
        <w:rPr>
          <w:color w:val="auto"/>
          <w:sz w:val="24"/>
        </w:rPr>
      </w:pPr>
      <w:r>
        <w:rPr>
          <w:sz w:val="24"/>
        </w:rPr>
        <w:t xml:space="preserve">Денежные средства автоматически зачислятся на лицевой счет пользователя, предназначенного </w:t>
      </w:r>
      <w:r w:rsidRPr="007319FC">
        <w:rPr>
          <w:color w:val="auto"/>
          <w:sz w:val="24"/>
        </w:rPr>
        <w:t>для блокирования денежных средств в качестве обеспечения заявки / обеспечения оплаты услуг оператора / задатка / сбора за участие (Лицевой счет 101). Согласно требованиям, размещенными на странице «Банковские реквизиты» сайта электронной площадки по адресу: http://utp.sberbank-ast.ru/AP/Notice/653/Requisites, денежные средства, поступившие от третьих лиц, не зачисляются.</w:t>
      </w:r>
    </w:p>
    <w:p w:rsidR="00F12BFB" w:rsidRPr="007319FC" w:rsidRDefault="00DA75E6">
      <w:pPr>
        <w:tabs>
          <w:tab w:val="left" w:pos="1134"/>
        </w:tabs>
        <w:ind w:firstLine="670"/>
        <w:jc w:val="both"/>
        <w:rPr>
          <w:color w:val="auto"/>
          <w:sz w:val="24"/>
        </w:rPr>
      </w:pPr>
      <w:r w:rsidRPr="007319FC">
        <w:rPr>
          <w:color w:val="auto"/>
          <w:sz w:val="24"/>
        </w:rPr>
        <w:t>Платежи разносятся по лицевым счетам каждый рабочий день по факту поступления средств по банковским выписками. Если выписки были получены до 10-00 часов текущего рабочего дня, либо после 18-00 часов предыдущего рабочего дня, то платежи разносятся по лицевым счетам не позднее 11-00 часов текущего рабочего дня. Зачисление на лицевой счет осуществляется автоматически по совпадению ИНН и КПП участника с учетом требований к назначению платежа.</w:t>
      </w:r>
    </w:p>
    <w:p w:rsidR="00F12BFB" w:rsidRDefault="00DA75E6">
      <w:pPr>
        <w:tabs>
          <w:tab w:val="left" w:pos="1134"/>
        </w:tabs>
        <w:ind w:firstLine="670"/>
        <w:jc w:val="both"/>
        <w:rPr>
          <w:sz w:val="24"/>
        </w:rPr>
      </w:pPr>
      <w:r w:rsidRPr="007319FC">
        <w:rPr>
          <w:color w:val="auto"/>
          <w:sz w:val="24"/>
        </w:rPr>
        <w:t xml:space="preserve">При отсутствии в платежном поручении номера КПП или несовпадении номера КПП указанного в платежном поручении с КПП организации, зарегистрированной на УТП, денежные средства поступают в невыясненные платежи. Также, в невыясненные платежи поступают денежные средства, перечисленные до подтверждения регистрации на УТП.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 </w:t>
      </w:r>
      <w:r>
        <w:rPr>
          <w:sz w:val="24"/>
        </w:rPr>
        <w:t>property@sberbank-ast.ru с приложением копии платежного поручения.</w:t>
      </w:r>
    </w:p>
    <w:p w:rsidR="00F12BFB" w:rsidRDefault="00DA75E6">
      <w:pPr>
        <w:tabs>
          <w:tab w:val="left" w:pos="1134"/>
        </w:tabs>
        <w:ind w:firstLine="670"/>
        <w:jc w:val="both"/>
        <w:rPr>
          <w:sz w:val="24"/>
        </w:rPr>
      </w:pPr>
      <w:r>
        <w:rPr>
          <w:sz w:val="24"/>
        </w:rPr>
        <w:t>При нарушении требований к назначению платежа, Оператор в течение 2 (двух) рабочих дней со дня, следующего за днем поступления денежных средств, возвращает денежные средства на платежные реквизиты плательщика без дополнительного уведомления последнего.</w:t>
      </w:r>
    </w:p>
    <w:p w:rsidR="00F12BFB" w:rsidRDefault="00DA75E6">
      <w:pPr>
        <w:tabs>
          <w:tab w:val="left" w:pos="1134"/>
        </w:tabs>
        <w:ind w:firstLine="670"/>
        <w:jc w:val="both"/>
        <w:rPr>
          <w:sz w:val="24"/>
        </w:rPr>
      </w:pPr>
      <w:r>
        <w:rPr>
          <w:sz w:val="24"/>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4A0" w:firstRow="1" w:lastRow="0" w:firstColumn="1" w:lastColumn="0" w:noHBand="0" w:noVBand="1"/>
      </w:tblPr>
      <w:tblGrid>
        <w:gridCol w:w="3151"/>
        <w:gridCol w:w="6772"/>
      </w:tblGrid>
      <w:tr w:rsidR="00F12BFB">
        <w:trPr>
          <w:trHeight w:val="6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b/>
                <w:sz w:val="24"/>
              </w:rPr>
              <w:t>Получатель</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Наименование</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АО "Сбербанк-АСТ"</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ИНН: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7707308480</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КПП:</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770701001</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Расчетный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40702810300020038047</w:t>
            </w:r>
          </w:p>
        </w:tc>
      </w:tr>
      <w:tr w:rsidR="00F12BFB">
        <w:trPr>
          <w:trHeight w:val="12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b/>
                <w:sz w:val="24"/>
              </w:rPr>
              <w:t>Банк получателя</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Наименование банка: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ПАО "СБЕРБАНК РОССИИ" г. МОСКВА</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БИК: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044525225</w:t>
            </w:r>
          </w:p>
        </w:tc>
      </w:tr>
      <w:tr w:rsidR="00F12BF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Default="00DA75E6">
            <w:pPr>
              <w:ind w:firstLine="426"/>
              <w:rPr>
                <w:sz w:val="24"/>
              </w:rPr>
            </w:pPr>
            <w:r>
              <w:rPr>
                <w:sz w:val="24"/>
              </w:rPr>
              <w:t>Корреспондентский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Default="00DA75E6">
            <w:pPr>
              <w:ind w:firstLine="426"/>
              <w:rPr>
                <w:sz w:val="24"/>
              </w:rPr>
            </w:pPr>
            <w:r>
              <w:rPr>
                <w:sz w:val="24"/>
              </w:rPr>
              <w:t>30101810400000000225</w:t>
            </w:r>
          </w:p>
        </w:tc>
      </w:tr>
    </w:tbl>
    <w:p w:rsidR="00F12BFB" w:rsidRPr="007319FC" w:rsidRDefault="00DA75E6">
      <w:pPr>
        <w:tabs>
          <w:tab w:val="left" w:pos="1134"/>
        </w:tabs>
        <w:ind w:firstLine="670"/>
        <w:jc w:val="both"/>
        <w:rPr>
          <w:color w:val="auto"/>
          <w:sz w:val="24"/>
        </w:rPr>
      </w:pPr>
      <w:r>
        <w:rPr>
          <w:sz w:val="24"/>
        </w:rPr>
        <w:lastRenderedPageBreak/>
        <w:t xml:space="preserve">Вышеуказанные банковские реквизиты, требования к порядку внесения задатка, </w:t>
      </w:r>
      <w:r w:rsidRPr="007319FC">
        <w:rPr>
          <w:color w:val="auto"/>
          <w:sz w:val="24"/>
        </w:rPr>
        <w:t>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http://utp.sberbank-ast.ru/AP/Notice/653/Requisites.</w:t>
      </w:r>
    </w:p>
    <w:p w:rsidR="00F12BFB" w:rsidRDefault="00DA75E6">
      <w:pPr>
        <w:ind w:firstLine="670"/>
        <w:jc w:val="both"/>
        <w:rPr>
          <w:sz w:val="24"/>
        </w:rPr>
      </w:pPr>
      <w:r w:rsidRPr="007319FC">
        <w:rPr>
          <w:color w:val="auto"/>
          <w:sz w:val="24"/>
        </w:rPr>
        <w:t xml:space="preserve">3.3. 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w:t>
      </w:r>
      <w:r>
        <w:rPr>
          <w:sz w:val="24"/>
        </w:rPr>
        <w:t xml:space="preserve">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sz w:val="24"/>
        </w:rPr>
        <w:t>непоступлении</w:t>
      </w:r>
      <w:proofErr w:type="spellEnd"/>
      <w:r>
        <w:rPr>
          <w:sz w:val="24"/>
        </w:rPr>
        <w:t xml:space="preserve"> Оператору задатка от такого Претендента.</w:t>
      </w:r>
    </w:p>
    <w:p w:rsidR="00F12BFB" w:rsidRDefault="00DA75E6">
      <w:pPr>
        <w:ind w:firstLine="670"/>
        <w:jc w:val="both"/>
        <w:rPr>
          <w:sz w:val="24"/>
        </w:rPr>
      </w:pPr>
      <w:r>
        <w:rPr>
          <w:sz w:val="24"/>
        </w:rPr>
        <w:t>Согласно п. 14.2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(банка) информации о поступлении денежных средств. Под получением информации от расчетной организации о зачислении денежных средств от Пользователей на счет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rsidR="00F12BFB" w:rsidRDefault="00DA75E6">
      <w:pPr>
        <w:ind w:firstLine="670"/>
        <w:jc w:val="both"/>
        <w:rPr>
          <w:sz w:val="24"/>
        </w:rPr>
      </w:pPr>
      <w:r>
        <w:rPr>
          <w:sz w:val="24"/>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rsidR="00F12BFB" w:rsidRDefault="00DA75E6">
      <w:pPr>
        <w:ind w:firstLine="670"/>
        <w:jc w:val="both"/>
        <w:rPr>
          <w:sz w:val="24"/>
        </w:rPr>
      </w:pPr>
      <w:r>
        <w:rPr>
          <w:sz w:val="24"/>
        </w:rPr>
        <w:t>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Оператору УТП от третьего лица.</w:t>
      </w:r>
    </w:p>
    <w:p w:rsidR="00F12BFB" w:rsidRDefault="00DA75E6">
      <w:pPr>
        <w:ind w:firstLine="670"/>
        <w:jc w:val="both"/>
        <w:rPr>
          <w:sz w:val="24"/>
        </w:rPr>
      </w:pPr>
      <w:r>
        <w:rPr>
          <w:sz w:val="24"/>
        </w:rPr>
        <w:t>В соответствии с п. 3.5.4 Регламента ТС «Приватизация, аренда и продажа прав» если извещением установлено условие о перечислении задатка и/или обеспечения оплаты услуг Оператора, на реквизиты Оператора, Оператор не позднее одного дня, следующего за днем публикации протокола об итогах, прекращает блокирование в отношении денежных средств участников, заблокированных в размере задатка, обеспечения оплаты услуг Оператора на лицевом счете на площадке, за исключением победителя торгов 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 С момента прекращения блокирования денежных средств на лицевом счете пользователя Оператор считается исполнившим соответствующее обязательство по возврату денежных средств.</w:t>
      </w:r>
    </w:p>
    <w:p w:rsidR="00F12BFB" w:rsidRDefault="00DA75E6">
      <w:pPr>
        <w:ind w:firstLine="670"/>
        <w:jc w:val="both"/>
        <w:rPr>
          <w:sz w:val="24"/>
        </w:rPr>
      </w:pPr>
      <w:r>
        <w:rPr>
          <w:sz w:val="24"/>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rsidR="00F12BFB" w:rsidRDefault="00DA75E6">
      <w:pPr>
        <w:ind w:firstLine="670"/>
        <w:jc w:val="both"/>
        <w:rPr>
          <w:sz w:val="24"/>
        </w:rPr>
      </w:pPr>
      <w:r>
        <w:rPr>
          <w:sz w:val="24"/>
        </w:rPr>
        <w:t>Оператор отклоняет заявление участника на вывод (возврат) денежных средств, если указанный размер средств превышает остаток свободных средств на лицевом счете участника.</w:t>
      </w:r>
    </w:p>
    <w:p w:rsidR="00F12BFB" w:rsidRDefault="00DA75E6">
      <w:pPr>
        <w:ind w:firstLine="670"/>
        <w:jc w:val="both"/>
        <w:rPr>
          <w:sz w:val="24"/>
        </w:rPr>
      </w:pPr>
      <w:r>
        <w:rPr>
          <w:sz w:val="24"/>
        </w:rPr>
        <w:lastRenderedPageBreak/>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rsidR="00F12BFB" w:rsidRDefault="00DA75E6">
      <w:pPr>
        <w:ind w:firstLine="670"/>
        <w:jc w:val="both"/>
        <w:rPr>
          <w:sz w:val="24"/>
        </w:rPr>
      </w:pPr>
      <w:r>
        <w:rPr>
          <w:sz w:val="24"/>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rsidR="00F12BFB" w:rsidRDefault="00DA75E6">
      <w:pPr>
        <w:tabs>
          <w:tab w:val="left" w:pos="6509"/>
        </w:tabs>
        <w:ind w:firstLine="670"/>
        <w:jc w:val="both"/>
        <w:rPr>
          <w:sz w:val="24"/>
        </w:rPr>
      </w:pPr>
      <w:r>
        <w:rPr>
          <w:sz w:val="24"/>
        </w:rPr>
        <w:t>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F12BFB" w:rsidRDefault="00DA75E6">
      <w:pPr>
        <w:tabs>
          <w:tab w:val="left" w:pos="6509"/>
        </w:tabs>
        <w:ind w:firstLine="670"/>
        <w:jc w:val="both"/>
        <w:rPr>
          <w:rStyle w:val="fontstyle210"/>
          <w:rFonts w:ascii="Times New Roman" w:hAnsi="Times New Roman"/>
          <w:sz w:val="24"/>
        </w:rPr>
      </w:pPr>
      <w:r>
        <w:rPr>
          <w:sz w:val="24"/>
        </w:rPr>
        <w:t>3.5. В соответствии с п. 3.3.4 Регламента ТС «Приватизация, аренда и продажа прав» в</w:t>
      </w:r>
      <w:r>
        <w:rPr>
          <w:rStyle w:val="fontstyle210"/>
          <w:rFonts w:ascii="Times New Roman" w:hAnsi="Times New Roman"/>
          <w:sz w:val="24"/>
        </w:rPr>
        <w:t xml:space="preserve">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w:t>
      </w:r>
    </w:p>
    <w:p w:rsidR="00F12BFB" w:rsidRDefault="00DA75E6">
      <w:pPr>
        <w:tabs>
          <w:tab w:val="left" w:pos="6509"/>
        </w:tabs>
        <w:ind w:firstLine="670"/>
        <w:jc w:val="both"/>
        <w:rPr>
          <w:b/>
          <w:i/>
          <w:sz w:val="24"/>
        </w:rPr>
      </w:pPr>
      <w:r>
        <w:rPr>
          <w:rStyle w:val="fontstyle210"/>
          <w:rFonts w:ascii="Times New Roman" w:hAnsi="Times New Roman"/>
          <w:sz w:val="24"/>
        </w:rPr>
        <w:t xml:space="preserve">3.6. </w:t>
      </w:r>
      <w:r>
        <w:rPr>
          <w:sz w:val="24"/>
        </w:rPr>
        <w:t xml:space="preserve">В соответствии с п. </w:t>
      </w:r>
      <w:r>
        <w:rPr>
          <w:rStyle w:val="fontstyle010"/>
          <w:rFonts w:ascii="Times New Roman" w:hAnsi="Times New Roman"/>
          <w:b w:val="0"/>
          <w:i w:val="0"/>
          <w:sz w:val="24"/>
        </w:rPr>
        <w:t xml:space="preserve">3.4.7 </w:t>
      </w:r>
      <w:r>
        <w:rPr>
          <w:sz w:val="24"/>
        </w:rPr>
        <w:t xml:space="preserve">Регламента ТС «Приватизация, аренда и продажа прав» </w:t>
      </w:r>
      <w:r>
        <w:rPr>
          <w:rStyle w:val="fontstyle010"/>
          <w:rFonts w:ascii="Times New Roman" w:hAnsi="Times New Roman"/>
          <w:b w:val="0"/>
          <w:i w:val="0"/>
          <w:sz w:val="24"/>
        </w:rPr>
        <w:t>Оператор прекращает блокирование в отношении денежных средств</w:t>
      </w:r>
      <w:r>
        <w:rPr>
          <w:b/>
          <w:i/>
          <w:sz w:val="24"/>
        </w:rPr>
        <w:t xml:space="preserve"> </w:t>
      </w:r>
      <w:r>
        <w:rPr>
          <w:rStyle w:val="fontstyle010"/>
          <w:rFonts w:ascii="Times New Roman" w:hAnsi="Times New Roman"/>
          <w:b w:val="0"/>
          <w:i w:val="0"/>
          <w:sz w:val="24"/>
        </w:rPr>
        <w:t xml:space="preserve">Участников, не сделавших предложения о цене в ходе </w:t>
      </w:r>
      <w:r>
        <w:rPr>
          <w:sz w:val="24"/>
        </w:rPr>
        <w:t>подачи предложений о цене (</w:t>
      </w:r>
      <w:r>
        <w:rPr>
          <w:rStyle w:val="fontstyle010"/>
          <w:rFonts w:ascii="Times New Roman" w:hAnsi="Times New Roman"/>
          <w:b w:val="0"/>
          <w:i w:val="0"/>
          <w:sz w:val="24"/>
        </w:rPr>
        <w:t>торговой сессии) по</w:t>
      </w:r>
      <w:r>
        <w:rPr>
          <w:b/>
          <w:i/>
          <w:sz w:val="24"/>
        </w:rPr>
        <w:t xml:space="preserve"> </w:t>
      </w:r>
      <w:r>
        <w:rPr>
          <w:rStyle w:val="fontstyle010"/>
          <w:rFonts w:ascii="Times New Roman" w:hAnsi="Times New Roman"/>
          <w:b w:val="0"/>
          <w:i w:val="0"/>
          <w:sz w:val="24"/>
        </w:rPr>
        <w:t>лоту, заблокированных в размере задатка на лицевом счете на</w:t>
      </w:r>
      <w:r>
        <w:rPr>
          <w:b/>
          <w:i/>
          <w:sz w:val="24"/>
        </w:rPr>
        <w:t xml:space="preserve"> </w:t>
      </w:r>
      <w:r>
        <w:rPr>
          <w:rStyle w:val="fontstyle010"/>
          <w:rFonts w:ascii="Times New Roman" w:hAnsi="Times New Roman"/>
          <w:b w:val="0"/>
          <w:i w:val="0"/>
          <w:sz w:val="24"/>
        </w:rPr>
        <w:t>площадке не позднее одного дня, следующего за днем завершения торговой</w:t>
      </w:r>
      <w:r>
        <w:rPr>
          <w:b/>
          <w:i/>
          <w:sz w:val="24"/>
        </w:rPr>
        <w:t xml:space="preserve"> </w:t>
      </w:r>
      <w:r>
        <w:rPr>
          <w:rStyle w:val="fontstyle010"/>
          <w:rFonts w:ascii="Times New Roman" w:hAnsi="Times New Roman"/>
          <w:b w:val="0"/>
          <w:i w:val="0"/>
          <w:sz w:val="24"/>
        </w:rPr>
        <w:t>сессии.</w:t>
      </w:r>
    </w:p>
    <w:p w:rsidR="00F12BFB" w:rsidRDefault="00DA75E6">
      <w:pPr>
        <w:ind w:firstLine="670"/>
        <w:jc w:val="both"/>
        <w:rPr>
          <w:sz w:val="24"/>
        </w:rPr>
      </w:pPr>
      <w:r>
        <w:rPr>
          <w:sz w:val="24"/>
        </w:rPr>
        <w:t xml:space="preserve">3.7.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 </w:t>
      </w:r>
    </w:p>
    <w:p w:rsidR="00F12BFB" w:rsidRDefault="00DA75E6">
      <w:pPr>
        <w:ind w:firstLine="670"/>
        <w:jc w:val="both"/>
        <w:rPr>
          <w:sz w:val="24"/>
        </w:rPr>
      </w:pPr>
      <w:r>
        <w:rPr>
          <w:sz w:val="24"/>
        </w:rPr>
        <w:t>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Pr>
          <w:sz w:val="24"/>
        </w:rPr>
        <w:tab/>
      </w:r>
    </w:p>
    <w:p w:rsidR="00F12BFB" w:rsidRDefault="00DA75E6">
      <w:pPr>
        <w:ind w:firstLine="670"/>
        <w:jc w:val="both"/>
        <w:rPr>
          <w:sz w:val="24"/>
        </w:rPr>
      </w:pPr>
      <w:r>
        <w:rPr>
          <w:sz w:val="24"/>
        </w:rPr>
        <w:t>3.8. 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
    <w:p w:rsidR="00F12BFB" w:rsidRDefault="00DA75E6">
      <w:pPr>
        <w:ind w:firstLine="670"/>
        <w:jc w:val="both"/>
        <w:rPr>
          <w:sz w:val="24"/>
        </w:rPr>
      </w:pPr>
      <w:r>
        <w:rPr>
          <w:sz w:val="24"/>
        </w:rPr>
        <w:t>3.9.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rsidR="00F12BFB" w:rsidRDefault="00F12BFB">
      <w:pPr>
        <w:ind w:firstLine="670"/>
        <w:jc w:val="both"/>
        <w:rPr>
          <w:sz w:val="24"/>
        </w:rPr>
      </w:pPr>
    </w:p>
    <w:p w:rsidR="00F12BFB" w:rsidRDefault="00DA75E6">
      <w:pPr>
        <w:widowControl w:val="0"/>
        <w:ind w:firstLine="669"/>
        <w:contextualSpacing/>
        <w:jc w:val="center"/>
        <w:rPr>
          <w:b/>
          <w:sz w:val="24"/>
          <w:u w:val="single"/>
        </w:rPr>
      </w:pPr>
      <w:r>
        <w:rPr>
          <w:b/>
          <w:sz w:val="24"/>
          <w:u w:val="single"/>
        </w:rPr>
        <w:t>4. Порядок подачи заявки на участие в торгах</w:t>
      </w:r>
    </w:p>
    <w:p w:rsidR="00F12BFB" w:rsidRDefault="00F12BFB">
      <w:pPr>
        <w:widowControl w:val="0"/>
        <w:ind w:firstLine="669"/>
        <w:contextualSpacing/>
        <w:jc w:val="center"/>
        <w:rPr>
          <w:b/>
          <w:sz w:val="24"/>
          <w:u w:val="single"/>
        </w:rPr>
      </w:pPr>
    </w:p>
    <w:p w:rsidR="00F12BFB" w:rsidRDefault="00DA75E6">
      <w:pPr>
        <w:widowControl w:val="0"/>
        <w:ind w:firstLine="669"/>
        <w:contextualSpacing/>
        <w:jc w:val="both"/>
        <w:rPr>
          <w:b/>
          <w:sz w:val="24"/>
          <w:u w:val="single"/>
        </w:rPr>
      </w:pPr>
      <w:r>
        <w:rPr>
          <w:b/>
          <w:sz w:val="24"/>
        </w:rPr>
        <w:t>4.1.</w:t>
      </w:r>
      <w:r>
        <w:rPr>
          <w:sz w:val="24"/>
        </w:rPr>
        <w:t xml:space="preserve"> </w:t>
      </w:r>
      <w:r>
        <w:rPr>
          <w:b/>
          <w:sz w:val="24"/>
        </w:rPr>
        <w:t xml:space="preserve">Порядок подачи заявки на участие в электронном аукционе </w:t>
      </w:r>
      <w:r>
        <w:rPr>
          <w:spacing w:val="-6"/>
          <w:sz w:val="24"/>
        </w:rPr>
        <w:t xml:space="preserve">определяется в соответствии с </w:t>
      </w:r>
      <w:r>
        <w:rPr>
          <w:sz w:val="24"/>
        </w:rPr>
        <w:t xml:space="preserve">Регламентом ТС «Приватизация, аренда и продажа прав» </w:t>
      </w:r>
      <w:r>
        <w:rPr>
          <w:spacing w:val="-6"/>
          <w:sz w:val="24"/>
        </w:rPr>
        <w:t>и настоящим извещением о проведении электронного аукциона.</w:t>
      </w:r>
    </w:p>
    <w:p w:rsidR="00F12BFB" w:rsidRDefault="00DA75E6">
      <w:pPr>
        <w:ind w:firstLine="670"/>
        <w:jc w:val="both"/>
        <w:rPr>
          <w:sz w:val="24"/>
        </w:rPr>
      </w:pPr>
      <w:r>
        <w:rPr>
          <w:sz w:val="24"/>
        </w:rPr>
        <w:tab/>
        <w:t>4.2. В соответствии с п. 3.2.1 Регламента ТС «Приватизация, аренда и продажа прав»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Регламента ТС «Приватизация, аренда и продажа прав» (п. 4.10 настоящего извещения).</w:t>
      </w:r>
    </w:p>
    <w:p w:rsidR="00F12BFB" w:rsidRDefault="00DA75E6">
      <w:pPr>
        <w:ind w:firstLine="670"/>
        <w:jc w:val="both"/>
        <w:rPr>
          <w:sz w:val="24"/>
        </w:rPr>
      </w:pPr>
      <w:r>
        <w:rPr>
          <w:sz w:val="24"/>
        </w:rPr>
        <w:lastRenderedPageBreak/>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2BFB" w:rsidRDefault="00DA75E6">
      <w:pPr>
        <w:ind w:firstLine="670"/>
        <w:jc w:val="both"/>
        <w:rPr>
          <w:b/>
          <w:sz w:val="24"/>
        </w:rPr>
      </w:pPr>
      <w:r>
        <w:rPr>
          <w:b/>
          <w:sz w:val="24"/>
        </w:rPr>
        <w:t>4.3. Для участия в электронном аукционе заявителями представляются следующие документы:</w:t>
      </w:r>
    </w:p>
    <w:p w:rsidR="00F12BFB" w:rsidRDefault="00DA75E6">
      <w:pPr>
        <w:ind w:firstLine="670"/>
        <w:jc w:val="both"/>
        <w:rPr>
          <w:sz w:val="24"/>
        </w:rPr>
      </w:pPr>
      <w:r>
        <w:rPr>
          <w:sz w:val="24"/>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rsidR="00F12BFB" w:rsidRDefault="00DA75E6">
      <w:pPr>
        <w:ind w:firstLine="670"/>
        <w:jc w:val="both"/>
        <w:rPr>
          <w:sz w:val="24"/>
        </w:rPr>
      </w:pPr>
      <w:r>
        <w:rPr>
          <w:sz w:val="24"/>
        </w:rPr>
        <w:t>2) копии документов, удостоверяющих личность заявителя (для граждан);</w:t>
      </w:r>
    </w:p>
    <w:p w:rsidR="00F12BFB" w:rsidRDefault="00DA75E6">
      <w:pPr>
        <w:ind w:firstLine="670"/>
        <w:jc w:val="both"/>
        <w:rPr>
          <w:sz w:val="24"/>
        </w:rPr>
      </w:pPr>
      <w:r>
        <w:rPr>
          <w:sz w:val="24"/>
        </w:rPr>
        <w:t>3) документы, подтверждающие внесение задатка.</w:t>
      </w:r>
    </w:p>
    <w:p w:rsidR="00F12BFB" w:rsidRDefault="00DA75E6">
      <w:pPr>
        <w:tabs>
          <w:tab w:val="left" w:pos="6509"/>
        </w:tabs>
        <w:ind w:firstLine="670"/>
        <w:jc w:val="both"/>
        <w:rPr>
          <w:sz w:val="24"/>
        </w:rPr>
      </w:pPr>
      <w:r>
        <w:rPr>
          <w:sz w:val="24"/>
        </w:rPr>
        <w:t>4.4. Один заявитель по каждому лоту вправе подать только одну заявку на участие в электронном аукционе.</w:t>
      </w:r>
    </w:p>
    <w:p w:rsidR="00F12BFB" w:rsidRDefault="00DA75E6">
      <w:pPr>
        <w:tabs>
          <w:tab w:val="left" w:pos="6509"/>
        </w:tabs>
        <w:ind w:firstLine="670"/>
        <w:jc w:val="both"/>
        <w:rPr>
          <w:sz w:val="24"/>
        </w:rPr>
      </w:pPr>
      <w:r>
        <w:rPr>
          <w:sz w:val="24"/>
        </w:rPr>
        <w:t>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F12BFB" w:rsidRDefault="00DA75E6">
      <w:pPr>
        <w:tabs>
          <w:tab w:val="left" w:pos="6509"/>
        </w:tabs>
        <w:ind w:firstLine="670"/>
        <w:jc w:val="both"/>
        <w:rPr>
          <w:sz w:val="24"/>
        </w:rPr>
      </w:pPr>
      <w:r>
        <w:rPr>
          <w:sz w:val="24"/>
        </w:rPr>
        <w:t xml:space="preserve">4.6. В соответствии с п. 3.2.10 Регламента ТС «Приватизация, аренда и продажа прав» заявка не может быть принята Оператором в случаях: </w:t>
      </w:r>
    </w:p>
    <w:p w:rsidR="00F12BFB" w:rsidRDefault="00DA75E6">
      <w:pPr>
        <w:tabs>
          <w:tab w:val="left" w:pos="6509"/>
        </w:tabs>
        <w:ind w:firstLine="670"/>
        <w:jc w:val="both"/>
        <w:rPr>
          <w:sz w:val="24"/>
        </w:rPr>
      </w:pPr>
      <w:r>
        <w:rPr>
          <w:sz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F12BFB" w:rsidRDefault="00DA75E6">
      <w:pPr>
        <w:tabs>
          <w:tab w:val="left" w:pos="6509"/>
        </w:tabs>
        <w:ind w:firstLine="670"/>
        <w:jc w:val="both"/>
        <w:rPr>
          <w:sz w:val="24"/>
        </w:rPr>
      </w:pPr>
      <w:r>
        <w:rPr>
          <w:sz w:val="24"/>
        </w:rPr>
        <w:t>- подачи заявки по истечении установленного срока подачи заявок;</w:t>
      </w:r>
    </w:p>
    <w:p w:rsidR="00F12BFB" w:rsidRDefault="00DA75E6">
      <w:pPr>
        <w:tabs>
          <w:tab w:val="left" w:pos="6509"/>
        </w:tabs>
        <w:ind w:firstLine="670"/>
        <w:jc w:val="both"/>
        <w:rPr>
          <w:sz w:val="24"/>
        </w:rPr>
      </w:pPr>
      <w:r>
        <w:rPr>
          <w:sz w:val="24"/>
        </w:rPr>
        <w:t xml:space="preserve">- некорректного заполнения формы заявки, в том числе </w:t>
      </w:r>
      <w:proofErr w:type="spellStart"/>
      <w:r>
        <w:rPr>
          <w:sz w:val="24"/>
        </w:rPr>
        <w:t>незаполнения</w:t>
      </w:r>
      <w:proofErr w:type="spellEnd"/>
      <w:r>
        <w:rPr>
          <w:sz w:val="24"/>
        </w:rPr>
        <w:t xml:space="preserve"> полей, являющихся обязательными для заполнения.</w:t>
      </w:r>
    </w:p>
    <w:p w:rsidR="00F12BFB" w:rsidRDefault="00DA75E6">
      <w:pPr>
        <w:tabs>
          <w:tab w:val="left" w:pos="6509"/>
        </w:tabs>
        <w:ind w:firstLine="670"/>
        <w:jc w:val="both"/>
        <w:rPr>
          <w:sz w:val="24"/>
        </w:rPr>
      </w:pPr>
      <w:r>
        <w:rPr>
          <w:sz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F12BFB" w:rsidRDefault="00DA75E6">
      <w:pPr>
        <w:tabs>
          <w:tab w:val="left" w:pos="6509"/>
        </w:tabs>
        <w:ind w:firstLine="670"/>
        <w:jc w:val="both"/>
        <w:rPr>
          <w:sz w:val="24"/>
        </w:rPr>
      </w:pPr>
      <w:r>
        <w:rPr>
          <w:sz w:val="24"/>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rsidR="00F12BFB" w:rsidRDefault="00DA75E6">
      <w:pPr>
        <w:tabs>
          <w:tab w:val="left" w:pos="6509"/>
        </w:tabs>
        <w:ind w:firstLine="670"/>
        <w:jc w:val="both"/>
        <w:rPr>
          <w:sz w:val="24"/>
        </w:rPr>
      </w:pPr>
      <w:r>
        <w:rPr>
          <w:sz w:val="24"/>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rsidR="00F12BFB" w:rsidRDefault="00DA75E6">
      <w:pPr>
        <w:tabs>
          <w:tab w:val="left" w:pos="6509"/>
        </w:tabs>
        <w:ind w:firstLine="670"/>
        <w:jc w:val="both"/>
        <w:rPr>
          <w:sz w:val="24"/>
        </w:rPr>
      </w:pPr>
      <w:r>
        <w:rPr>
          <w:sz w:val="24"/>
        </w:rPr>
        <w:t>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rsidR="00F12BFB" w:rsidRDefault="00DA75E6">
      <w:pPr>
        <w:tabs>
          <w:tab w:val="left" w:pos="6509"/>
        </w:tabs>
        <w:ind w:firstLine="670"/>
        <w:jc w:val="both"/>
        <w:rPr>
          <w:sz w:val="24"/>
        </w:rPr>
      </w:pPr>
      <w:r>
        <w:rPr>
          <w:sz w:val="24"/>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rsidR="00F12BFB" w:rsidRDefault="00DA75E6">
      <w:pPr>
        <w:tabs>
          <w:tab w:val="left" w:pos="6509"/>
        </w:tabs>
        <w:ind w:firstLine="670"/>
        <w:jc w:val="both"/>
        <w:rPr>
          <w:sz w:val="24"/>
        </w:rPr>
      </w:pPr>
      <w:r>
        <w:rPr>
          <w:sz w:val="24"/>
        </w:rPr>
        <w:t>4.10. 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
    <w:p w:rsidR="00F12BFB" w:rsidRDefault="00DA75E6">
      <w:pPr>
        <w:tabs>
          <w:tab w:val="left" w:pos="6509"/>
        </w:tabs>
        <w:ind w:firstLine="670"/>
        <w:jc w:val="both"/>
        <w:rPr>
          <w:sz w:val="24"/>
        </w:rPr>
      </w:pPr>
      <w:r>
        <w:rPr>
          <w:sz w:val="24"/>
        </w:rPr>
        <w:t>- подача, изменение, отзыв заявки осуществляются представителем Претендента из своего личного кабинета с использованием своей ЭП;</w:t>
      </w:r>
    </w:p>
    <w:p w:rsidR="00F12BFB" w:rsidRDefault="00DA75E6">
      <w:pPr>
        <w:tabs>
          <w:tab w:val="left" w:pos="6509"/>
        </w:tabs>
        <w:ind w:firstLine="670"/>
        <w:jc w:val="both"/>
        <w:rPr>
          <w:sz w:val="24"/>
        </w:rPr>
      </w:pPr>
      <w:r>
        <w:rPr>
          <w:sz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F12BFB" w:rsidRDefault="00DA75E6">
      <w:pPr>
        <w:tabs>
          <w:tab w:val="left" w:pos="6509"/>
        </w:tabs>
        <w:ind w:firstLine="670"/>
        <w:jc w:val="both"/>
        <w:rPr>
          <w:sz w:val="24"/>
        </w:rPr>
      </w:pPr>
      <w:r>
        <w:rPr>
          <w:sz w:val="24"/>
        </w:rPr>
        <w:t>- перечисление денежных средств в качестве задатка на реквизиты Оператора осуществляется представителем Претендента до подачи заявки;</w:t>
      </w:r>
    </w:p>
    <w:p w:rsidR="00F12BFB" w:rsidRDefault="00DA75E6">
      <w:pPr>
        <w:tabs>
          <w:tab w:val="left" w:pos="6509"/>
        </w:tabs>
        <w:ind w:firstLine="670"/>
        <w:jc w:val="both"/>
        <w:rPr>
          <w:sz w:val="24"/>
        </w:rPr>
      </w:pPr>
      <w:r>
        <w:rPr>
          <w:sz w:val="24"/>
        </w:rPr>
        <w:lastRenderedPageBreak/>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F12BFB" w:rsidRDefault="00DA75E6">
      <w:pPr>
        <w:tabs>
          <w:tab w:val="left" w:pos="6509"/>
        </w:tabs>
        <w:ind w:firstLine="670"/>
        <w:jc w:val="both"/>
        <w:rPr>
          <w:sz w:val="24"/>
        </w:rPr>
      </w:pPr>
      <w:r>
        <w:rPr>
          <w:sz w:val="24"/>
        </w:rPr>
        <w:t>Во всем остальном, действия представителя Претендента в ТС аналогичны действиям Претендента, действующего в ТС лично.</w:t>
      </w:r>
    </w:p>
    <w:p w:rsidR="00F12BFB" w:rsidRDefault="00F12BFB">
      <w:pPr>
        <w:tabs>
          <w:tab w:val="left" w:pos="6509"/>
        </w:tabs>
        <w:ind w:firstLine="670"/>
        <w:jc w:val="both"/>
        <w:rPr>
          <w:sz w:val="24"/>
        </w:rPr>
      </w:pPr>
    </w:p>
    <w:p w:rsidR="00F12BFB" w:rsidRDefault="00DA75E6">
      <w:pPr>
        <w:tabs>
          <w:tab w:val="left" w:pos="6509"/>
        </w:tabs>
        <w:ind w:firstLine="670"/>
        <w:jc w:val="center"/>
        <w:rPr>
          <w:rStyle w:val="fontstyle010"/>
          <w:rFonts w:ascii="Times New Roman" w:hAnsi="Times New Roman"/>
          <w:i w:val="0"/>
          <w:sz w:val="24"/>
          <w:u w:val="single"/>
        </w:rPr>
      </w:pPr>
      <w:r>
        <w:rPr>
          <w:rStyle w:val="fontstyle010"/>
          <w:rFonts w:ascii="Times New Roman" w:hAnsi="Times New Roman"/>
          <w:i w:val="0"/>
          <w:sz w:val="24"/>
          <w:u w:val="single"/>
        </w:rPr>
        <w:t>5. Определение участников торгов</w:t>
      </w:r>
    </w:p>
    <w:p w:rsidR="00F12BFB" w:rsidRDefault="00F12BFB">
      <w:pPr>
        <w:tabs>
          <w:tab w:val="left" w:pos="6509"/>
        </w:tabs>
        <w:ind w:firstLine="670"/>
        <w:jc w:val="center"/>
        <w:rPr>
          <w:rStyle w:val="fontstyle010"/>
          <w:rFonts w:ascii="Times New Roman" w:hAnsi="Times New Roman"/>
          <w:i w:val="0"/>
          <w:sz w:val="24"/>
          <w:u w:val="single"/>
        </w:rPr>
      </w:pPr>
    </w:p>
    <w:p w:rsidR="00F12BFB" w:rsidRDefault="00DA75E6">
      <w:pPr>
        <w:tabs>
          <w:tab w:val="left" w:pos="6509"/>
        </w:tabs>
        <w:ind w:firstLine="670"/>
        <w:jc w:val="both"/>
        <w:rPr>
          <w:rStyle w:val="fontstyle210"/>
          <w:rFonts w:ascii="Times New Roman" w:hAnsi="Times New Roman"/>
          <w:sz w:val="24"/>
        </w:rPr>
      </w:pPr>
      <w:r>
        <w:rPr>
          <w:rStyle w:val="fontstyle210"/>
          <w:rFonts w:ascii="Times New Roman" w:hAnsi="Times New Roman"/>
          <w:sz w:val="24"/>
        </w:rPr>
        <w:t xml:space="preserve">5.1. </w:t>
      </w:r>
      <w:r>
        <w:rPr>
          <w:sz w:val="24"/>
        </w:rPr>
        <w:t>В соответствии с 3.3.1 Регламента ТС «Приватизация, аренда и продажа прав» н</w:t>
      </w:r>
      <w:r>
        <w:rPr>
          <w:rStyle w:val="fontstyle210"/>
          <w:rFonts w:ascii="Times New Roman" w:hAnsi="Times New Roman"/>
          <w:sz w:val="24"/>
        </w:rPr>
        <w:t>е позднее одного часа с момента окончания срока подачи заявок</w:t>
      </w:r>
      <w:r>
        <w:rPr>
          <w:sz w:val="24"/>
        </w:rPr>
        <w:t xml:space="preserve"> </w:t>
      </w:r>
      <w:r>
        <w:rPr>
          <w:rStyle w:val="fontstyle210"/>
          <w:rFonts w:ascii="Times New Roman" w:hAnsi="Times New Roman"/>
          <w:sz w:val="24"/>
        </w:rPr>
        <w:t>Оператор в Личном кабинете Организатора процедуры открывает доступ к</w:t>
      </w:r>
      <w:r>
        <w:rPr>
          <w:sz w:val="24"/>
        </w:rPr>
        <w:t xml:space="preserve"> </w:t>
      </w:r>
      <w:r>
        <w:rPr>
          <w:rStyle w:val="fontstyle210"/>
          <w:rFonts w:ascii="Times New Roman" w:hAnsi="Times New Roman"/>
          <w:sz w:val="24"/>
        </w:rPr>
        <w:t>зарегистрированным заявкам.</w:t>
      </w:r>
    </w:p>
    <w:p w:rsidR="00F12BFB" w:rsidRDefault="00DA75E6">
      <w:pPr>
        <w:tabs>
          <w:tab w:val="left" w:pos="6509"/>
        </w:tabs>
        <w:ind w:firstLine="670"/>
        <w:jc w:val="both"/>
        <w:rPr>
          <w:sz w:val="24"/>
        </w:rPr>
      </w:pPr>
      <w:r>
        <w:rPr>
          <w:rStyle w:val="fontstyle210"/>
          <w:rFonts w:ascii="Times New Roman" w:hAnsi="Times New Roman"/>
          <w:sz w:val="24"/>
        </w:rPr>
        <w:t xml:space="preserve">5.2. </w:t>
      </w:r>
      <w:r>
        <w:rPr>
          <w:sz w:val="24"/>
        </w:rPr>
        <w:t>Заявитель не допускается к участию в электронном аукционе в следующих случаях:</w:t>
      </w:r>
    </w:p>
    <w:p w:rsidR="00F12BFB" w:rsidRDefault="00DA75E6">
      <w:pPr>
        <w:tabs>
          <w:tab w:val="left" w:pos="6509"/>
        </w:tabs>
        <w:ind w:firstLine="670"/>
        <w:jc w:val="both"/>
        <w:rPr>
          <w:sz w:val="24"/>
        </w:rPr>
      </w:pPr>
      <w:r>
        <w:rPr>
          <w:sz w:val="24"/>
        </w:rPr>
        <w:t>1) непредставление необходимых для участия в электронном аукционе документов или представление недостоверных сведений;</w:t>
      </w:r>
    </w:p>
    <w:p w:rsidR="00F12BFB" w:rsidRDefault="00DA75E6">
      <w:pPr>
        <w:tabs>
          <w:tab w:val="left" w:pos="6509"/>
        </w:tabs>
        <w:ind w:firstLine="670"/>
        <w:jc w:val="both"/>
        <w:rPr>
          <w:sz w:val="24"/>
        </w:rPr>
      </w:pPr>
      <w:r>
        <w:rPr>
          <w:sz w:val="24"/>
        </w:rPr>
        <w:t xml:space="preserve">2) </w:t>
      </w:r>
      <w:proofErr w:type="spellStart"/>
      <w:r>
        <w:rPr>
          <w:sz w:val="24"/>
        </w:rPr>
        <w:t>непоступление</w:t>
      </w:r>
      <w:proofErr w:type="spellEnd"/>
      <w:r>
        <w:rPr>
          <w:sz w:val="24"/>
        </w:rPr>
        <w:t xml:space="preserve"> задатка на дату рассмотрения заявок на участие в аукционе;</w:t>
      </w:r>
    </w:p>
    <w:p w:rsidR="00F12BFB" w:rsidRDefault="00DA75E6">
      <w:pPr>
        <w:tabs>
          <w:tab w:val="left" w:pos="6509"/>
        </w:tabs>
        <w:ind w:firstLine="670"/>
        <w:jc w:val="both"/>
        <w:rPr>
          <w:sz w:val="24"/>
        </w:rPr>
      </w:pPr>
      <w:r>
        <w:rPr>
          <w:sz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или приобрести земельный участок в аренду;</w:t>
      </w:r>
    </w:p>
    <w:p w:rsidR="00F12BFB" w:rsidRDefault="00DA75E6">
      <w:pPr>
        <w:tabs>
          <w:tab w:val="left" w:pos="6509"/>
        </w:tabs>
        <w:ind w:firstLine="670"/>
        <w:jc w:val="both"/>
        <w:rPr>
          <w:rStyle w:val="fontstyle210"/>
          <w:rFonts w:ascii="Times New Roman" w:hAnsi="Times New Roman"/>
          <w:sz w:val="24"/>
        </w:rPr>
      </w:pPr>
      <w:r>
        <w:rPr>
          <w:sz w:val="24"/>
        </w:rPr>
        <w:t>4) наличие сведений о заявителе в предусмотренном Земельным кодексом Российской Федерации реестре недобросовестных участников электронного аукциона</w:t>
      </w:r>
      <w:r>
        <w:rPr>
          <w:rStyle w:val="fontstyle210"/>
          <w:rFonts w:ascii="Times New Roman" w:hAnsi="Times New Roman"/>
          <w:sz w:val="24"/>
        </w:rPr>
        <w:t>.</w:t>
      </w:r>
    </w:p>
    <w:p w:rsidR="00F12BFB" w:rsidRDefault="00DA75E6">
      <w:pPr>
        <w:tabs>
          <w:tab w:val="left" w:pos="6509"/>
        </w:tabs>
        <w:ind w:firstLine="670"/>
        <w:jc w:val="both"/>
        <w:rPr>
          <w:rStyle w:val="fontstyle210"/>
          <w:rFonts w:ascii="Times New Roman" w:hAnsi="Times New Roman"/>
          <w:sz w:val="24"/>
        </w:rPr>
      </w:pPr>
      <w:r>
        <w:rPr>
          <w:sz w:val="24"/>
        </w:rPr>
        <w:t>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12BFB" w:rsidRDefault="00DA75E6">
      <w:pPr>
        <w:tabs>
          <w:tab w:val="left" w:pos="6509"/>
        </w:tabs>
        <w:ind w:firstLine="670"/>
        <w:jc w:val="both"/>
        <w:rPr>
          <w:sz w:val="24"/>
        </w:rPr>
      </w:pPr>
      <w:r>
        <w:rPr>
          <w:rStyle w:val="fontstyle210"/>
          <w:rFonts w:ascii="Times New Roman" w:hAnsi="Times New Roman"/>
          <w:sz w:val="24"/>
        </w:rPr>
        <w:t>5.4.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sz w:val="24"/>
        </w:rPr>
        <w:t xml:space="preserve"> рассмотрения заявок на участие в электронном аукционе.</w:t>
      </w:r>
    </w:p>
    <w:p w:rsidR="00F12BFB" w:rsidRDefault="00DA75E6">
      <w:pPr>
        <w:tabs>
          <w:tab w:val="left" w:pos="6509"/>
        </w:tabs>
        <w:ind w:firstLine="670"/>
        <w:jc w:val="center"/>
        <w:rPr>
          <w:b/>
          <w:sz w:val="24"/>
          <w:u w:val="single"/>
        </w:rPr>
      </w:pPr>
      <w:r>
        <w:rPr>
          <w:b/>
          <w:sz w:val="24"/>
          <w:u w:val="single"/>
        </w:rPr>
        <w:t>6. Подача предложений о цене</w:t>
      </w:r>
    </w:p>
    <w:p w:rsidR="00F12BFB" w:rsidRDefault="00F12BFB">
      <w:pPr>
        <w:tabs>
          <w:tab w:val="left" w:pos="6509"/>
        </w:tabs>
        <w:ind w:firstLine="670"/>
        <w:jc w:val="center"/>
        <w:rPr>
          <w:b/>
          <w:sz w:val="24"/>
          <w:u w:val="single"/>
        </w:rPr>
      </w:pPr>
    </w:p>
    <w:p w:rsidR="00F12BFB" w:rsidRDefault="00DA75E6">
      <w:pPr>
        <w:tabs>
          <w:tab w:val="left" w:pos="6509"/>
        </w:tabs>
        <w:ind w:firstLine="670"/>
        <w:jc w:val="both"/>
        <w:rPr>
          <w:sz w:val="24"/>
        </w:rPr>
      </w:pPr>
      <w:r>
        <w:rPr>
          <w:sz w:val="24"/>
        </w:rPr>
        <w:t>6.1. В соответствии с п. 3.4.1 Регламента ТС «Приватизация, аренда и продажа прав» подача предложений о цене (торговая сессия) проводится в день и время, указанные в извещении.</w:t>
      </w:r>
    </w:p>
    <w:p w:rsidR="00F12BFB" w:rsidRDefault="00DA75E6">
      <w:pPr>
        <w:tabs>
          <w:tab w:val="left" w:pos="6509"/>
        </w:tabs>
        <w:ind w:firstLine="670"/>
        <w:jc w:val="both"/>
        <w:rPr>
          <w:sz w:val="24"/>
        </w:rPr>
      </w:pPr>
      <w:r>
        <w:rPr>
          <w:sz w:val="24"/>
        </w:rPr>
        <w:t>6.2. В соответствии с п. 3.4.2 Регламента ТС «Приватизация, аренда и продажа прав» торговая сессия не проводится в случаях, если:</w:t>
      </w:r>
    </w:p>
    <w:p w:rsidR="00F12BFB" w:rsidRDefault="00DA75E6">
      <w:pPr>
        <w:tabs>
          <w:tab w:val="left" w:pos="6509"/>
        </w:tabs>
        <w:ind w:firstLine="670"/>
        <w:jc w:val="both"/>
        <w:rPr>
          <w:sz w:val="24"/>
        </w:rPr>
      </w:pPr>
      <w:r>
        <w:rPr>
          <w:sz w:val="24"/>
        </w:rPr>
        <w:t>- на участие в торгах не подано или не принято ни одной заявки, либо принята только одна заявка;</w:t>
      </w:r>
    </w:p>
    <w:p w:rsidR="00F12BFB" w:rsidRDefault="00DA75E6">
      <w:pPr>
        <w:tabs>
          <w:tab w:val="left" w:pos="6509"/>
        </w:tabs>
        <w:ind w:firstLine="670"/>
        <w:jc w:val="both"/>
        <w:rPr>
          <w:sz w:val="24"/>
        </w:rPr>
      </w:pPr>
      <w:r>
        <w:rPr>
          <w:sz w:val="24"/>
        </w:rPr>
        <w:t>- в результате рассмотрения заявок на участие в торгах все заявки отклонены;</w:t>
      </w:r>
    </w:p>
    <w:p w:rsidR="00F12BFB" w:rsidRDefault="00DA75E6">
      <w:pPr>
        <w:tabs>
          <w:tab w:val="left" w:pos="6509"/>
        </w:tabs>
        <w:ind w:firstLine="670"/>
        <w:jc w:val="both"/>
        <w:rPr>
          <w:sz w:val="24"/>
        </w:rPr>
      </w:pPr>
      <w:r>
        <w:rPr>
          <w:sz w:val="24"/>
        </w:rPr>
        <w:t>- в результате рассмотрения заявок на участие в торгах участником признан только один Претендент;</w:t>
      </w:r>
    </w:p>
    <w:p w:rsidR="00F12BFB" w:rsidRDefault="00DA75E6">
      <w:pPr>
        <w:tabs>
          <w:tab w:val="left" w:pos="6509"/>
        </w:tabs>
        <w:ind w:firstLine="670"/>
        <w:jc w:val="both"/>
        <w:rPr>
          <w:sz w:val="24"/>
        </w:rPr>
      </w:pPr>
      <w:r>
        <w:rPr>
          <w:sz w:val="24"/>
        </w:rPr>
        <w:t>- торги (лоты) отменены Организатором процедуры;</w:t>
      </w:r>
    </w:p>
    <w:p w:rsidR="00F12BFB" w:rsidRDefault="00DA75E6">
      <w:pPr>
        <w:tabs>
          <w:tab w:val="left" w:pos="6509"/>
        </w:tabs>
        <w:ind w:firstLine="670"/>
        <w:jc w:val="both"/>
        <w:rPr>
          <w:sz w:val="24"/>
        </w:rPr>
      </w:pPr>
      <w:r>
        <w:rPr>
          <w:sz w:val="24"/>
        </w:rPr>
        <w:t>- этап подачи предложений о цене по торгам (лоту) приостановлен.</w:t>
      </w:r>
    </w:p>
    <w:p w:rsidR="00F12BFB" w:rsidRDefault="00DA75E6">
      <w:pPr>
        <w:tabs>
          <w:tab w:val="left" w:pos="6509"/>
        </w:tabs>
        <w:ind w:firstLine="670"/>
        <w:jc w:val="both"/>
        <w:rPr>
          <w:sz w:val="24"/>
        </w:rPr>
      </w:pPr>
      <w:r>
        <w:rPr>
          <w:sz w:val="24"/>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rsidR="00F12BFB" w:rsidRDefault="00DA75E6">
      <w:pPr>
        <w:tabs>
          <w:tab w:val="left" w:pos="6509"/>
        </w:tabs>
        <w:ind w:firstLine="670"/>
        <w:jc w:val="both"/>
        <w:rPr>
          <w:sz w:val="24"/>
        </w:rPr>
      </w:pPr>
      <w:r>
        <w:rPr>
          <w:sz w:val="24"/>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rsidR="00F12BFB" w:rsidRDefault="00DA75E6">
      <w:pPr>
        <w:jc w:val="both"/>
        <w:rPr>
          <w:sz w:val="24"/>
        </w:rPr>
      </w:pPr>
      <w:r>
        <w:rPr>
          <w:sz w:val="24"/>
        </w:rPr>
        <w:tab/>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rPr>
          <w:sz w:val="24"/>
        </w:rPr>
        <w:lastRenderedPageBreak/>
        <w:t>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12BFB" w:rsidRDefault="00DA75E6">
      <w:pPr>
        <w:tabs>
          <w:tab w:val="left" w:pos="6509"/>
        </w:tabs>
        <w:ind w:firstLine="670"/>
        <w:jc w:val="both"/>
        <w:rPr>
          <w:sz w:val="24"/>
        </w:rPr>
      </w:pPr>
      <w:r>
        <w:rPr>
          <w:sz w:val="24"/>
        </w:rPr>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F12BFB" w:rsidRDefault="00DA75E6">
      <w:pPr>
        <w:tabs>
          <w:tab w:val="left" w:pos="6509"/>
        </w:tabs>
        <w:ind w:firstLine="670"/>
        <w:jc w:val="both"/>
        <w:rPr>
          <w:sz w:val="24"/>
        </w:rPr>
      </w:pPr>
      <w:r>
        <w:rPr>
          <w:sz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F12BFB" w:rsidRDefault="00DA75E6">
      <w:pPr>
        <w:tabs>
          <w:tab w:val="left" w:pos="6509"/>
        </w:tabs>
        <w:ind w:firstLine="670"/>
        <w:jc w:val="both"/>
        <w:rPr>
          <w:sz w:val="24"/>
        </w:rPr>
      </w:pPr>
      <w:r>
        <w:rPr>
          <w:sz w:val="24"/>
        </w:rPr>
        <w:t>В соответствии с п. 23.4.3 Регламента ТС «Приватизация, аренда и продажа прав» время для подачи предложений о цене определяется в следующем порядке:</w:t>
      </w:r>
    </w:p>
    <w:p w:rsidR="00F12BFB" w:rsidRDefault="00DA75E6">
      <w:pPr>
        <w:tabs>
          <w:tab w:val="left" w:pos="6509"/>
        </w:tabs>
        <w:ind w:firstLine="670"/>
        <w:jc w:val="both"/>
        <w:rPr>
          <w:sz w:val="24"/>
        </w:rPr>
      </w:pPr>
      <w:r>
        <w:rPr>
          <w:sz w:val="24"/>
        </w:rPr>
        <w:t>– время для подачи первого предложения о цене составляет 10 минут с момента начала аукциона;</w:t>
      </w:r>
    </w:p>
    <w:p w:rsidR="00F12BFB" w:rsidRDefault="00DA75E6">
      <w:pPr>
        <w:tabs>
          <w:tab w:val="left" w:pos="6509"/>
        </w:tabs>
        <w:ind w:firstLine="670"/>
        <w:jc w:val="both"/>
        <w:rPr>
          <w:sz w:val="24"/>
        </w:rPr>
      </w:pPr>
      <w:r>
        <w:rPr>
          <w:sz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F12BFB" w:rsidRDefault="00DA75E6">
      <w:pPr>
        <w:tabs>
          <w:tab w:val="left" w:pos="6509"/>
        </w:tabs>
        <w:ind w:firstLine="670"/>
        <w:jc w:val="both"/>
        <w:rPr>
          <w:sz w:val="24"/>
        </w:rPr>
      </w:pPr>
      <w:r>
        <w:rPr>
          <w:sz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F12BFB" w:rsidRDefault="00DA75E6">
      <w:pPr>
        <w:tabs>
          <w:tab w:val="left" w:pos="6509"/>
        </w:tabs>
        <w:ind w:firstLine="670"/>
        <w:jc w:val="both"/>
        <w:rPr>
          <w:sz w:val="24"/>
        </w:rPr>
      </w:pPr>
      <w:r>
        <w:rPr>
          <w:sz w:val="24"/>
        </w:rPr>
        <w:t>6.6. 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 а именно если:</w:t>
      </w:r>
    </w:p>
    <w:p w:rsidR="00F12BFB" w:rsidRDefault="00DA75E6">
      <w:pPr>
        <w:tabs>
          <w:tab w:val="left" w:pos="6509"/>
        </w:tabs>
        <w:ind w:firstLine="670"/>
        <w:jc w:val="both"/>
        <w:rPr>
          <w:sz w:val="24"/>
        </w:rPr>
      </w:pPr>
      <w:r>
        <w:rPr>
          <w:sz w:val="24"/>
        </w:rPr>
        <w:t>- предложение о цене подано до начала или по истечении установленного времени для подачи предложений о цене;</w:t>
      </w:r>
    </w:p>
    <w:p w:rsidR="00F12BFB" w:rsidRDefault="00DA75E6">
      <w:pPr>
        <w:tabs>
          <w:tab w:val="left" w:pos="6509"/>
        </w:tabs>
        <w:ind w:firstLine="670"/>
        <w:jc w:val="both"/>
        <w:rPr>
          <w:sz w:val="24"/>
        </w:rPr>
      </w:pPr>
      <w:r>
        <w:rPr>
          <w:sz w:val="24"/>
        </w:rPr>
        <w:t>- представленное предложение о цене ниже начальной цены;</w:t>
      </w:r>
    </w:p>
    <w:p w:rsidR="00F12BFB" w:rsidRDefault="00DA75E6">
      <w:pPr>
        <w:tabs>
          <w:tab w:val="left" w:pos="6509"/>
        </w:tabs>
        <w:ind w:firstLine="670"/>
        <w:jc w:val="both"/>
        <w:rPr>
          <w:sz w:val="24"/>
        </w:rPr>
      </w:pPr>
      <w:r>
        <w:rPr>
          <w:sz w:val="24"/>
        </w:rPr>
        <w:t>- представленное предложение о цене равно нулю;</w:t>
      </w:r>
    </w:p>
    <w:p w:rsidR="00F12BFB" w:rsidRDefault="00DA75E6">
      <w:pPr>
        <w:tabs>
          <w:tab w:val="left" w:pos="6509"/>
        </w:tabs>
        <w:ind w:firstLine="670"/>
        <w:jc w:val="both"/>
        <w:rPr>
          <w:sz w:val="24"/>
        </w:rPr>
      </w:pPr>
      <w:r>
        <w:rPr>
          <w:sz w:val="24"/>
        </w:rPr>
        <w:t>- представленное предложение о цене не соответствует увеличению текущей цены в соответствии с «шагом аукциона»;</w:t>
      </w:r>
    </w:p>
    <w:p w:rsidR="00F12BFB" w:rsidRDefault="00DA75E6">
      <w:pPr>
        <w:tabs>
          <w:tab w:val="left" w:pos="6509"/>
        </w:tabs>
        <w:ind w:firstLine="670"/>
        <w:jc w:val="both"/>
        <w:rPr>
          <w:sz w:val="24"/>
        </w:rPr>
      </w:pPr>
      <w:r>
        <w:rPr>
          <w:sz w:val="24"/>
        </w:rPr>
        <w:t>- представленное Участником предложение о цене меньше ранее представленных предложений;</w:t>
      </w:r>
    </w:p>
    <w:p w:rsidR="00F12BFB" w:rsidRDefault="00DA75E6">
      <w:pPr>
        <w:tabs>
          <w:tab w:val="left" w:pos="6509"/>
        </w:tabs>
        <w:ind w:firstLine="670"/>
        <w:jc w:val="both"/>
        <w:rPr>
          <w:sz w:val="24"/>
        </w:rPr>
      </w:pPr>
      <w:r>
        <w:rPr>
          <w:sz w:val="24"/>
        </w:rPr>
        <w:t>- представленное Участником предложение о цене является лучшим текущим предложением о цене.</w:t>
      </w:r>
    </w:p>
    <w:p w:rsidR="00F12BFB" w:rsidRDefault="00DA75E6">
      <w:pPr>
        <w:tabs>
          <w:tab w:val="left" w:pos="6509"/>
        </w:tabs>
        <w:ind w:firstLine="670"/>
        <w:jc w:val="both"/>
        <w:rPr>
          <w:b/>
          <w:i/>
          <w:sz w:val="24"/>
        </w:rPr>
      </w:pPr>
      <w:r>
        <w:rPr>
          <w:rStyle w:val="fontstyle010"/>
          <w:rFonts w:ascii="Times New Roman" w:hAnsi="Times New Roman"/>
          <w:b w:val="0"/>
          <w:i w:val="0"/>
          <w:sz w:val="24"/>
        </w:rPr>
        <w:t>6.7. При подаче предложений о цене Оператор обеспечивает</w:t>
      </w:r>
      <w:r>
        <w:rPr>
          <w:b/>
          <w:i/>
          <w:sz w:val="24"/>
        </w:rPr>
        <w:t xml:space="preserve"> </w:t>
      </w:r>
      <w:r>
        <w:rPr>
          <w:rStyle w:val="fontstyle010"/>
          <w:rFonts w:ascii="Times New Roman" w:hAnsi="Times New Roman"/>
          <w:b w:val="0"/>
          <w:i w:val="0"/>
          <w:sz w:val="24"/>
        </w:rPr>
        <w:t>конфиденциальность информации об участниках.</w:t>
      </w:r>
      <w:r>
        <w:rPr>
          <w:b/>
          <w:i/>
          <w:sz w:val="24"/>
        </w:rPr>
        <w:t xml:space="preserve"> </w:t>
      </w:r>
    </w:p>
    <w:p w:rsidR="00F12BFB" w:rsidRDefault="00DA75E6">
      <w:pPr>
        <w:tabs>
          <w:tab w:val="left" w:pos="6509"/>
        </w:tabs>
        <w:ind w:firstLine="670"/>
        <w:jc w:val="both"/>
        <w:rPr>
          <w:sz w:val="24"/>
        </w:rPr>
      </w:pPr>
      <w:r>
        <w:rPr>
          <w:sz w:val="24"/>
        </w:rPr>
        <w:t xml:space="preserve">6.8. В соответствии с п. </w:t>
      </w:r>
      <w:r>
        <w:rPr>
          <w:rStyle w:val="fontstyle010"/>
          <w:rFonts w:ascii="Times New Roman" w:hAnsi="Times New Roman"/>
          <w:b w:val="0"/>
          <w:i w:val="0"/>
          <w:sz w:val="24"/>
        </w:rPr>
        <w:t xml:space="preserve">3.4.6 </w:t>
      </w:r>
      <w:r>
        <w:rPr>
          <w:sz w:val="24"/>
        </w:rPr>
        <w:t xml:space="preserve">Регламента ТС «Приватизация, аренда и продажа прав» </w:t>
      </w:r>
      <w:r>
        <w:rPr>
          <w:rStyle w:val="fontstyle010"/>
          <w:rFonts w:ascii="Times New Roman" w:hAnsi="Times New Roman"/>
          <w:b w:val="0"/>
          <w:i w:val="0"/>
          <w:sz w:val="24"/>
        </w:rPr>
        <w:t>ход проведения процедуры подачи предложений о цене по лоту</w:t>
      </w:r>
      <w:r>
        <w:rPr>
          <w:b/>
          <w:i/>
          <w:sz w:val="24"/>
        </w:rPr>
        <w:t xml:space="preserve"> </w:t>
      </w:r>
      <w:r>
        <w:rPr>
          <w:rStyle w:val="fontstyle010"/>
          <w:rFonts w:ascii="Times New Roman" w:hAnsi="Times New Roman"/>
          <w:b w:val="0"/>
          <w:i w:val="0"/>
          <w:sz w:val="24"/>
        </w:rPr>
        <w:t>фиксируется Оператором в электронном журнале. Журнал с предложениями</w:t>
      </w:r>
      <w:r>
        <w:rPr>
          <w:b/>
          <w:i/>
          <w:sz w:val="24"/>
        </w:rPr>
        <w:t xml:space="preserve"> </w:t>
      </w:r>
      <w:r>
        <w:rPr>
          <w:rStyle w:val="fontstyle010"/>
          <w:rFonts w:ascii="Times New Roman" w:hAnsi="Times New Roman"/>
          <w:b w:val="0"/>
          <w:i w:val="0"/>
          <w:sz w:val="24"/>
        </w:rPr>
        <w:t>о цене Участников направляется в Личный кабинет Организатора процедуры</w:t>
      </w:r>
      <w:r>
        <w:rPr>
          <w:b/>
          <w:i/>
          <w:sz w:val="24"/>
        </w:rPr>
        <w:t xml:space="preserve"> </w:t>
      </w:r>
      <w:r>
        <w:rPr>
          <w:rStyle w:val="fontstyle010"/>
          <w:rFonts w:ascii="Times New Roman" w:hAnsi="Times New Roman"/>
          <w:b w:val="0"/>
          <w:i w:val="0"/>
          <w:sz w:val="24"/>
        </w:rPr>
        <w:t>в течение одного часа со времени завершения торговой сессии. По аукциону</w:t>
      </w:r>
      <w:r>
        <w:rPr>
          <w:b/>
          <w:i/>
          <w:sz w:val="24"/>
        </w:rPr>
        <w:t xml:space="preserve"> </w:t>
      </w:r>
      <w:r>
        <w:rPr>
          <w:rStyle w:val="fontstyle010"/>
          <w:rFonts w:ascii="Times New Roman" w:hAnsi="Times New Roman"/>
          <w:b w:val="0"/>
          <w:i w:val="0"/>
          <w:sz w:val="24"/>
        </w:rPr>
        <w:t>Оператор направляет в Личный кабинет Организатора процедуры журнал с</w:t>
      </w:r>
      <w:r>
        <w:rPr>
          <w:b/>
          <w:i/>
          <w:sz w:val="24"/>
        </w:rPr>
        <w:t xml:space="preserve"> </w:t>
      </w:r>
      <w:r>
        <w:rPr>
          <w:rStyle w:val="fontstyle010"/>
          <w:rFonts w:ascii="Times New Roman" w:hAnsi="Times New Roman"/>
          <w:b w:val="0"/>
          <w:i w:val="0"/>
          <w:sz w:val="24"/>
        </w:rPr>
        <w:t>лучшими ценовыми предложениями Участников аукциона и посредством</w:t>
      </w:r>
      <w:r>
        <w:rPr>
          <w:b/>
          <w:i/>
          <w:sz w:val="24"/>
        </w:rPr>
        <w:t xml:space="preserve"> </w:t>
      </w:r>
      <w:r>
        <w:rPr>
          <w:rStyle w:val="fontstyle010"/>
          <w:rFonts w:ascii="Times New Roman" w:hAnsi="Times New Roman"/>
          <w:b w:val="0"/>
          <w:i w:val="0"/>
          <w:sz w:val="24"/>
        </w:rPr>
        <w:t>штатного интерфейса ТС обеспечивает просмотр всех предложений о цене,</w:t>
      </w:r>
      <w:r>
        <w:rPr>
          <w:b/>
          <w:i/>
          <w:sz w:val="24"/>
        </w:rPr>
        <w:t xml:space="preserve"> </w:t>
      </w:r>
      <w:r>
        <w:rPr>
          <w:rStyle w:val="fontstyle010"/>
          <w:rFonts w:ascii="Times New Roman" w:hAnsi="Times New Roman"/>
          <w:b w:val="0"/>
          <w:i w:val="0"/>
          <w:sz w:val="24"/>
        </w:rPr>
        <w:t>поданных Участниками аукциона.</w:t>
      </w:r>
    </w:p>
    <w:p w:rsidR="00F12BFB" w:rsidRDefault="00DA75E6">
      <w:pPr>
        <w:tabs>
          <w:tab w:val="left" w:pos="6509"/>
        </w:tabs>
        <w:ind w:firstLine="670"/>
        <w:jc w:val="both"/>
        <w:rPr>
          <w:sz w:val="24"/>
        </w:rPr>
      </w:pPr>
      <w:r>
        <w:rPr>
          <w:sz w:val="24"/>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12BFB" w:rsidRDefault="00F12BFB">
      <w:pPr>
        <w:tabs>
          <w:tab w:val="left" w:pos="6509"/>
        </w:tabs>
        <w:ind w:firstLine="670"/>
        <w:jc w:val="both"/>
        <w:rPr>
          <w:sz w:val="24"/>
        </w:rPr>
      </w:pPr>
    </w:p>
    <w:p w:rsidR="00F12BFB" w:rsidRDefault="00DA75E6">
      <w:pPr>
        <w:ind w:firstLine="670"/>
        <w:jc w:val="center"/>
        <w:rPr>
          <w:b/>
          <w:sz w:val="24"/>
          <w:u w:val="single"/>
        </w:rPr>
      </w:pPr>
      <w:r>
        <w:rPr>
          <w:b/>
          <w:sz w:val="24"/>
          <w:u w:val="single"/>
        </w:rPr>
        <w:t>7. Подведение итогов торгов</w:t>
      </w:r>
    </w:p>
    <w:p w:rsidR="007319FC" w:rsidRDefault="007319FC">
      <w:pPr>
        <w:ind w:firstLine="670"/>
        <w:jc w:val="center"/>
        <w:rPr>
          <w:b/>
          <w:sz w:val="24"/>
          <w:u w:val="single"/>
        </w:rPr>
      </w:pPr>
    </w:p>
    <w:p w:rsidR="00F12BFB" w:rsidRPr="007319FC" w:rsidRDefault="00DA75E6">
      <w:pPr>
        <w:tabs>
          <w:tab w:val="left" w:pos="6509"/>
        </w:tabs>
        <w:ind w:firstLine="670"/>
        <w:jc w:val="both"/>
        <w:rPr>
          <w:sz w:val="24"/>
        </w:rPr>
      </w:pPr>
      <w:r w:rsidRPr="007319FC">
        <w:rPr>
          <w:sz w:val="24"/>
        </w:rPr>
        <w:t xml:space="preserve">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 </w:t>
      </w:r>
    </w:p>
    <w:p w:rsidR="00F12BFB" w:rsidRDefault="00DA75E6">
      <w:pPr>
        <w:ind w:firstLine="670"/>
        <w:jc w:val="both"/>
        <w:rPr>
          <w:sz w:val="24"/>
        </w:rPr>
      </w:pPr>
      <w:r>
        <w:rPr>
          <w:sz w:val="24"/>
        </w:rPr>
        <w:lastRenderedPageBreak/>
        <w:t>7.2. 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организации),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12BFB" w:rsidRDefault="00DA75E6">
      <w:pPr>
        <w:jc w:val="both"/>
        <w:rPr>
          <w:sz w:val="24"/>
        </w:rPr>
      </w:pPr>
      <w:r>
        <w:rPr>
          <w:sz w:val="24"/>
        </w:rPr>
        <w:tab/>
        <w:t>7.3. В протоколе о результатах электронного аукциона указываются:</w:t>
      </w:r>
    </w:p>
    <w:p w:rsidR="00F12BFB" w:rsidRDefault="00DA75E6">
      <w:pPr>
        <w:jc w:val="both"/>
        <w:rPr>
          <w:sz w:val="24"/>
        </w:rPr>
      </w:pPr>
      <w:r>
        <w:rPr>
          <w:sz w:val="24"/>
        </w:rPr>
        <w:tab/>
        <w:t>1) сведения о месте, дате и времени проведения электронного аукциона;</w:t>
      </w:r>
    </w:p>
    <w:p w:rsidR="00F12BFB" w:rsidRDefault="00DA75E6">
      <w:pPr>
        <w:jc w:val="both"/>
        <w:rPr>
          <w:sz w:val="24"/>
        </w:rPr>
      </w:pPr>
      <w:r>
        <w:rPr>
          <w:sz w:val="24"/>
        </w:rPr>
        <w:tab/>
        <w:t>2) предмет электронного аукциона, в том числе сведения о местоположении и площади земельного участка;</w:t>
      </w:r>
    </w:p>
    <w:p w:rsidR="00F12BFB" w:rsidRDefault="00DA75E6">
      <w:pPr>
        <w:jc w:val="both"/>
        <w:rPr>
          <w:sz w:val="24"/>
        </w:rPr>
      </w:pPr>
      <w:r>
        <w:rPr>
          <w:sz w:val="24"/>
        </w:rPr>
        <w:tab/>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F12BFB" w:rsidRDefault="00DA75E6">
      <w:pPr>
        <w:jc w:val="both"/>
        <w:rPr>
          <w:sz w:val="24"/>
        </w:rPr>
      </w:pPr>
      <w:r>
        <w:rPr>
          <w:sz w:val="24"/>
        </w:rPr>
        <w:tab/>
        <w:t>4)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F12BFB" w:rsidRDefault="00DA75E6">
      <w:pPr>
        <w:jc w:val="both"/>
        <w:rPr>
          <w:sz w:val="24"/>
        </w:rPr>
      </w:pPr>
      <w:r>
        <w:rPr>
          <w:sz w:val="24"/>
        </w:rPr>
        <w:tab/>
        <w:t>5) сведения о последнем предложении о цене предмета электронного аукциона (размер ежегодной арендной платы).</w:t>
      </w:r>
    </w:p>
    <w:p w:rsidR="00F12BFB" w:rsidRDefault="00DA75E6">
      <w:pPr>
        <w:ind w:firstLine="709"/>
        <w:jc w:val="both"/>
        <w:rPr>
          <w:b/>
          <w:sz w:val="24"/>
        </w:rPr>
      </w:pPr>
      <w:r>
        <w:rPr>
          <w:b/>
          <w:sz w:val="24"/>
        </w:rPr>
        <w:t>7.4. Электронный аукцион признается несостоявшимся в следующих случаях:</w:t>
      </w:r>
    </w:p>
    <w:p w:rsidR="00F12BFB" w:rsidRDefault="00DA75E6">
      <w:pPr>
        <w:ind w:firstLine="709"/>
        <w:jc w:val="both"/>
        <w:rPr>
          <w:sz w:val="24"/>
        </w:rPr>
      </w:pPr>
      <w:r>
        <w:rPr>
          <w:sz w:val="24"/>
        </w:rPr>
        <w:t xml:space="preserve"> - по окончании срока подачи заявок была подана только одна заявка;</w:t>
      </w:r>
    </w:p>
    <w:p w:rsidR="00F12BFB" w:rsidRDefault="00DA75E6">
      <w:pPr>
        <w:ind w:firstLine="709"/>
        <w:jc w:val="both"/>
        <w:rPr>
          <w:sz w:val="24"/>
        </w:rPr>
      </w:pPr>
      <w:r>
        <w:rPr>
          <w:sz w:val="24"/>
        </w:rPr>
        <w:t xml:space="preserve"> - по окончании срока подачи заявок не подано ни одной заявки;</w:t>
      </w:r>
    </w:p>
    <w:p w:rsidR="00F12BFB" w:rsidRDefault="00DA75E6">
      <w:pPr>
        <w:ind w:firstLine="709"/>
        <w:jc w:val="both"/>
        <w:rPr>
          <w:sz w:val="24"/>
        </w:rPr>
      </w:pPr>
      <w:r>
        <w:rPr>
          <w:sz w:val="24"/>
        </w:rPr>
        <w:t xml:space="preserve"> - на основании результатов рассмотрения заявок принято решение об отказе в допуске к участию в аукционе всех заявителей на участие в аукционе;</w:t>
      </w:r>
    </w:p>
    <w:p w:rsidR="00F12BFB" w:rsidRDefault="00DA75E6">
      <w:pPr>
        <w:ind w:firstLine="709"/>
        <w:jc w:val="both"/>
        <w:rPr>
          <w:sz w:val="24"/>
        </w:rPr>
      </w:pPr>
      <w:r>
        <w:rPr>
          <w:sz w:val="24"/>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F12BFB" w:rsidRDefault="00DA75E6">
      <w:pPr>
        <w:ind w:firstLine="709"/>
        <w:jc w:val="both"/>
        <w:rPr>
          <w:sz w:val="24"/>
        </w:rPr>
      </w:pPr>
      <w:r>
        <w:rPr>
          <w:sz w:val="24"/>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rsidR="00F12BFB" w:rsidRDefault="00DA75E6">
      <w:pPr>
        <w:ind w:firstLine="709"/>
        <w:jc w:val="both"/>
        <w:rPr>
          <w:sz w:val="24"/>
        </w:rPr>
      </w:pPr>
      <w:r>
        <w:rPr>
          <w:sz w:val="24"/>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rsidR="00F12BFB" w:rsidRDefault="00F12BFB">
      <w:pPr>
        <w:ind w:firstLine="709"/>
        <w:jc w:val="both"/>
        <w:rPr>
          <w:sz w:val="24"/>
        </w:rPr>
      </w:pPr>
    </w:p>
    <w:p w:rsidR="00F12BFB" w:rsidRDefault="00DA75E6">
      <w:pPr>
        <w:ind w:firstLine="670"/>
        <w:jc w:val="center"/>
        <w:rPr>
          <w:b/>
          <w:sz w:val="24"/>
          <w:u w:val="single"/>
        </w:rPr>
      </w:pPr>
      <w:r>
        <w:rPr>
          <w:b/>
          <w:sz w:val="24"/>
          <w:u w:val="single"/>
        </w:rPr>
        <w:t>8. Приостановление и возобновление процедуры торгов (лотов)</w:t>
      </w:r>
    </w:p>
    <w:p w:rsidR="00F12BFB" w:rsidRDefault="00F12BFB">
      <w:pPr>
        <w:ind w:firstLine="670"/>
        <w:jc w:val="center"/>
        <w:rPr>
          <w:b/>
          <w:sz w:val="24"/>
          <w:u w:val="single"/>
        </w:rPr>
      </w:pPr>
    </w:p>
    <w:p w:rsidR="00F12BFB" w:rsidRDefault="00DA75E6">
      <w:pPr>
        <w:ind w:firstLine="670"/>
        <w:jc w:val="both"/>
        <w:rPr>
          <w:sz w:val="24"/>
        </w:rPr>
      </w:pPr>
      <w:r>
        <w:rPr>
          <w:sz w:val="24"/>
        </w:rPr>
        <w:t>8.1.</w:t>
      </w:r>
      <w:r>
        <w:rPr>
          <w:sz w:val="24"/>
        </w:rPr>
        <w:tab/>
        <w:t>В соответствии с п. 3.6.1 Регламента ТС «Приватизация, аренда и продажа прав» Оператор приостанавливает процедуру торгов (в том числе в части лота) в случае:</w:t>
      </w:r>
    </w:p>
    <w:p w:rsidR="00F12BFB" w:rsidRDefault="00DA75E6">
      <w:pPr>
        <w:ind w:firstLine="670"/>
        <w:jc w:val="both"/>
        <w:rPr>
          <w:sz w:val="24"/>
        </w:rPr>
      </w:pPr>
      <w:r>
        <w:rPr>
          <w:sz w:val="24"/>
        </w:rPr>
        <w:tab/>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F12BFB" w:rsidRDefault="00DA75E6">
      <w:pPr>
        <w:ind w:firstLine="670"/>
        <w:jc w:val="both"/>
        <w:rPr>
          <w:sz w:val="24"/>
        </w:rPr>
      </w:pPr>
      <w:r>
        <w:rPr>
          <w:sz w:val="24"/>
        </w:rPr>
        <w:tab/>
        <w:t>- технологического сбоя, зафиксированного программно-аппаратными средствами электронной площадки;</w:t>
      </w:r>
    </w:p>
    <w:p w:rsidR="00F12BFB" w:rsidRDefault="00DA75E6">
      <w:pPr>
        <w:ind w:firstLine="670"/>
        <w:jc w:val="both"/>
        <w:rPr>
          <w:sz w:val="24"/>
        </w:rPr>
      </w:pPr>
      <w:r>
        <w:rPr>
          <w:sz w:val="24"/>
        </w:rPr>
        <w:tab/>
        <w:t>-  иных случаев, предусмотренных действующим законодательством.</w:t>
      </w:r>
    </w:p>
    <w:p w:rsidR="00F12BFB" w:rsidRDefault="00DA75E6">
      <w:pPr>
        <w:ind w:firstLine="670"/>
        <w:jc w:val="both"/>
        <w:rPr>
          <w:sz w:val="24"/>
        </w:rPr>
      </w:pPr>
      <w:r>
        <w:rPr>
          <w:sz w:val="24"/>
        </w:rPr>
        <w:t xml:space="preserve">8.2. В соответствии с п. 3.6.2 Регламента ТС «Приватизация, аренда и продажа прав» в отношении торгов, указанных в пункте 3.1.2 Регламента ТС «Приватизация,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Организатор процедуры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 </w:t>
      </w:r>
    </w:p>
    <w:p w:rsidR="00F12BFB" w:rsidRDefault="00DA75E6">
      <w:pPr>
        <w:ind w:firstLine="670"/>
        <w:jc w:val="both"/>
        <w:rPr>
          <w:sz w:val="24"/>
        </w:rPr>
      </w:pPr>
      <w:r>
        <w:rPr>
          <w:sz w:val="24"/>
        </w:rPr>
        <w:t xml:space="preserve">В случае необходимости приостановления процедуры торгов (лота) на электронной площадке по требованию органов, указанных в пункте 3.6.1 Регламента ТС «Приватизация, </w:t>
      </w:r>
      <w:r>
        <w:rPr>
          <w:sz w:val="24"/>
        </w:rPr>
        <w:lastRenderedPageBreak/>
        <w:t>аренда и продажа прав»,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rsidR="00F12BFB" w:rsidRDefault="00DA75E6">
      <w:pPr>
        <w:ind w:firstLine="670"/>
        <w:jc w:val="both"/>
        <w:rPr>
          <w:sz w:val="24"/>
        </w:rPr>
      </w:pPr>
      <w:r>
        <w:rPr>
          <w:sz w:val="24"/>
        </w:rPr>
        <w:tab/>
        <w:t>Процедура торгов (лота) возобновляется с той стадии, на которой она была приостановлена, если иное не установлено решением Организатора процедуры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F12BFB" w:rsidRDefault="00DA75E6">
      <w:pPr>
        <w:ind w:firstLine="670"/>
        <w:jc w:val="both"/>
        <w:rPr>
          <w:sz w:val="24"/>
        </w:rPr>
      </w:pPr>
      <w:r>
        <w:rPr>
          <w:sz w:val="24"/>
        </w:rPr>
        <w:t>8.3. В соответствии с п. 3.6.3 Регламента ТС «Приватизация, аренда и продажа прав» 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rsidR="00F12BFB" w:rsidRDefault="00F12BFB">
      <w:pPr>
        <w:ind w:firstLine="670"/>
        <w:jc w:val="both"/>
        <w:rPr>
          <w:sz w:val="24"/>
        </w:rPr>
      </w:pPr>
    </w:p>
    <w:p w:rsidR="00F12BFB" w:rsidRDefault="00DA75E6">
      <w:pPr>
        <w:ind w:firstLine="670"/>
        <w:jc w:val="center"/>
        <w:rPr>
          <w:b/>
          <w:sz w:val="24"/>
          <w:u w:val="single"/>
        </w:rPr>
      </w:pPr>
      <w:r>
        <w:rPr>
          <w:b/>
          <w:sz w:val="24"/>
          <w:u w:val="single"/>
        </w:rPr>
        <w:t>9. Заключение договора аренды земельного участка по итогам торгов</w:t>
      </w:r>
    </w:p>
    <w:p w:rsidR="00F12BFB" w:rsidRDefault="00F12BFB">
      <w:pPr>
        <w:ind w:firstLine="670"/>
        <w:jc w:val="center"/>
        <w:rPr>
          <w:b/>
          <w:sz w:val="24"/>
          <w:u w:val="single"/>
        </w:rPr>
      </w:pPr>
    </w:p>
    <w:p w:rsidR="00F12BFB" w:rsidRDefault="00DA75E6">
      <w:pPr>
        <w:ind w:firstLine="670"/>
        <w:jc w:val="both"/>
        <w:rPr>
          <w:sz w:val="24"/>
        </w:rPr>
      </w:pPr>
      <w:r>
        <w:rPr>
          <w:sz w:val="24"/>
        </w:rPr>
        <w:t>9.1.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12BFB" w:rsidRDefault="00DA75E6">
      <w:pPr>
        <w:ind w:firstLine="670"/>
        <w:jc w:val="both"/>
        <w:rPr>
          <w:sz w:val="24"/>
        </w:rPr>
      </w:pPr>
      <w:r>
        <w:rPr>
          <w:sz w:val="24"/>
        </w:rPr>
        <w:t>9.1.1. Не допускается заключение договора аренды земельного участка,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12BFB" w:rsidRDefault="00DA75E6">
      <w:pPr>
        <w:ind w:firstLine="670"/>
        <w:jc w:val="both"/>
        <w:rPr>
          <w:sz w:val="24"/>
        </w:rPr>
      </w:pPr>
      <w:r>
        <w:rPr>
          <w:sz w:val="24"/>
        </w:rPr>
        <w:t xml:space="preserve">9.2. Уполномоченный орган (Администрация </w:t>
      </w:r>
      <w:proofErr w:type="spellStart"/>
      <w:r>
        <w:rPr>
          <w:sz w:val="24"/>
        </w:rPr>
        <w:t>Конышевского</w:t>
      </w:r>
      <w:proofErr w:type="spellEnd"/>
      <w:r>
        <w:rPr>
          <w:sz w:val="24"/>
        </w:rPr>
        <w:t xml:space="preserve"> района Курской области) в течение пяти дней со дня истечения 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F12BFB" w:rsidRDefault="00DA75E6">
      <w:pPr>
        <w:ind w:firstLine="670"/>
        <w:jc w:val="both"/>
        <w:rPr>
          <w:sz w:val="24"/>
        </w:rPr>
      </w:pPr>
      <w:r>
        <w:rPr>
          <w:sz w:val="24"/>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F12BFB" w:rsidRDefault="00DA75E6">
      <w:pPr>
        <w:ind w:firstLine="670"/>
        <w:jc w:val="both"/>
        <w:rPr>
          <w:sz w:val="24"/>
        </w:rPr>
      </w:pPr>
      <w:r>
        <w:rPr>
          <w:sz w:val="24"/>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rsidR="00F12BFB" w:rsidRDefault="00DA75E6">
      <w:pPr>
        <w:ind w:firstLine="670"/>
        <w:jc w:val="both"/>
        <w:rPr>
          <w:sz w:val="24"/>
        </w:rPr>
      </w:pPr>
      <w:r>
        <w:rPr>
          <w:sz w:val="24"/>
        </w:rPr>
        <w:t>9.4. 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электронном аукционе его участником устанавливается в размере, равном начальной цене предмета электронного аукциона.</w:t>
      </w:r>
    </w:p>
    <w:p w:rsidR="00F12BFB" w:rsidRDefault="00DA75E6">
      <w:pPr>
        <w:ind w:firstLine="670"/>
        <w:jc w:val="both"/>
        <w:rPr>
          <w:sz w:val="24"/>
        </w:rPr>
      </w:pPr>
      <w:r>
        <w:rPr>
          <w:sz w:val="24"/>
        </w:rPr>
        <w:t xml:space="preserve">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w:t>
      </w:r>
      <w:r>
        <w:rPr>
          <w:sz w:val="24"/>
        </w:rPr>
        <w:lastRenderedPageBreak/>
        <w:t>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rsidR="00F12BFB" w:rsidRDefault="00DA75E6">
      <w:pPr>
        <w:jc w:val="both"/>
        <w:rPr>
          <w:sz w:val="24"/>
        </w:rPr>
      </w:pPr>
      <w:r>
        <w:rPr>
          <w:sz w:val="24"/>
        </w:rPr>
        <w:tab/>
        <w:t xml:space="preserve">9.6. 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F12BFB" w:rsidRDefault="00DA75E6">
      <w:pPr>
        <w:ind w:firstLine="670"/>
        <w:jc w:val="both"/>
        <w:rPr>
          <w:sz w:val="24"/>
        </w:rPr>
      </w:pPr>
      <w:r>
        <w:rPr>
          <w:sz w:val="24"/>
        </w:rPr>
        <w:t>9.7. 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rsidR="00F12BFB" w:rsidRDefault="00DA75E6">
      <w:pPr>
        <w:ind w:firstLine="670"/>
        <w:jc w:val="both"/>
        <w:rPr>
          <w:sz w:val="24"/>
        </w:rPr>
      </w:pPr>
      <w:r>
        <w:rPr>
          <w:sz w:val="24"/>
        </w:rPr>
        <w:t>В реестр недобросовестных участников аукциона включаются следующие сведения:</w:t>
      </w:r>
    </w:p>
    <w:p w:rsidR="00F12BFB" w:rsidRDefault="00DA75E6">
      <w:pPr>
        <w:ind w:firstLine="670"/>
        <w:jc w:val="both"/>
        <w:rPr>
          <w:sz w:val="24"/>
        </w:rPr>
      </w:pPr>
      <w:r>
        <w:rPr>
          <w:sz w:val="24"/>
        </w:rPr>
        <w:t>1)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
    <w:p w:rsidR="00F12BFB" w:rsidRDefault="00DA75E6">
      <w:pPr>
        <w:ind w:firstLine="670"/>
        <w:jc w:val="both"/>
        <w:rPr>
          <w:sz w:val="24"/>
        </w:rPr>
      </w:pPr>
      <w:r>
        <w:rPr>
          <w:sz w:val="24"/>
        </w:rPr>
        <w:t>2) фамилия, имя и (при наличии) отчество (для граждан), указанных в п. 27 ст. 39.12 Земельного кодекса РФ;</w:t>
      </w:r>
    </w:p>
    <w:p w:rsidR="00F12BFB" w:rsidRDefault="00DA75E6">
      <w:pPr>
        <w:ind w:firstLine="670"/>
        <w:jc w:val="both"/>
        <w:rPr>
          <w:sz w:val="24"/>
        </w:rPr>
      </w:pPr>
      <w:r>
        <w:rPr>
          <w:sz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12BFB" w:rsidRDefault="00DA75E6">
      <w:pPr>
        <w:ind w:firstLine="670"/>
        <w:jc w:val="both"/>
        <w:rPr>
          <w:sz w:val="24"/>
        </w:rPr>
      </w:pPr>
      <w:r>
        <w:rPr>
          <w:sz w:val="24"/>
        </w:rPr>
        <w:t>4) дата внесения указанных в настоящем пункте сведений в реестр недобросовестных участников аукциона.</w:t>
      </w:r>
    </w:p>
    <w:p w:rsidR="00F12BFB" w:rsidRDefault="00DA75E6">
      <w:pPr>
        <w:ind w:firstLine="670"/>
        <w:jc w:val="both"/>
        <w:rPr>
          <w:sz w:val="24"/>
        </w:rPr>
      </w:pPr>
      <w:r>
        <w:rPr>
          <w:sz w:val="24"/>
        </w:rPr>
        <w:t xml:space="preserve">В случае,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w:t>
      </w:r>
      <w:proofErr w:type="spellStart"/>
      <w:r>
        <w:rPr>
          <w:sz w:val="24"/>
        </w:rPr>
        <w:t>пп</w:t>
      </w:r>
      <w:proofErr w:type="spellEnd"/>
      <w:r>
        <w:rPr>
          <w:sz w:val="24"/>
        </w:rPr>
        <w:t>.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12BFB" w:rsidRDefault="00F12BFB">
      <w:pPr>
        <w:ind w:firstLine="670"/>
        <w:jc w:val="both"/>
        <w:rPr>
          <w:sz w:val="24"/>
        </w:rPr>
      </w:pPr>
    </w:p>
    <w:p w:rsidR="00F12BFB" w:rsidRDefault="00DA75E6">
      <w:pPr>
        <w:ind w:firstLine="670"/>
        <w:jc w:val="center"/>
        <w:rPr>
          <w:b/>
          <w:sz w:val="24"/>
          <w:u w:val="single"/>
        </w:rPr>
      </w:pPr>
      <w:r>
        <w:rPr>
          <w:b/>
          <w:sz w:val="24"/>
          <w:u w:val="single"/>
        </w:rPr>
        <w:t>10. Прочие условия электронного аукциона</w:t>
      </w:r>
    </w:p>
    <w:p w:rsidR="00F12BFB" w:rsidRDefault="00F12BFB">
      <w:pPr>
        <w:ind w:firstLine="670"/>
        <w:jc w:val="center"/>
        <w:rPr>
          <w:b/>
          <w:sz w:val="24"/>
          <w:u w:val="single"/>
        </w:rPr>
      </w:pPr>
    </w:p>
    <w:p w:rsidR="00F12BFB" w:rsidRDefault="00DA75E6">
      <w:pPr>
        <w:ind w:firstLine="670"/>
        <w:jc w:val="both"/>
        <w:rPr>
          <w:sz w:val="24"/>
        </w:rPr>
      </w:pPr>
      <w:r>
        <w:rPr>
          <w:sz w:val="24"/>
        </w:rPr>
        <w:t xml:space="preserve">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w:t>
      </w:r>
      <w:proofErr w:type="gramStart"/>
      <w:r>
        <w:rPr>
          <w:sz w:val="24"/>
        </w:rPr>
        <w:t>РФ</w:t>
      </w:r>
      <w:proofErr w:type="gramEnd"/>
      <w:r>
        <w:rPr>
          <w:sz w:val="24"/>
        </w:rPr>
        <w:t xml:space="preserve"> а также соответствующими регламентами и прочими официальными документами Оператора электронного аукциона</w:t>
      </w:r>
    </w:p>
    <w:sectPr w:rsidR="00F12BFB">
      <w:pgSz w:w="11906" w:h="16820"/>
      <w:pgMar w:top="567"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6C" w:rsidRDefault="00344E6C">
      <w:r>
        <w:separator/>
      </w:r>
    </w:p>
  </w:endnote>
  <w:endnote w:type="continuationSeparator" w:id="0">
    <w:p w:rsidR="00344E6C" w:rsidRDefault="0034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6C" w:rsidRDefault="00344E6C">
      <w:r>
        <w:separator/>
      </w:r>
    </w:p>
  </w:footnote>
  <w:footnote w:type="continuationSeparator" w:id="0">
    <w:p w:rsidR="00344E6C" w:rsidRDefault="00344E6C">
      <w:r>
        <w:continuationSeparator/>
      </w:r>
    </w:p>
  </w:footnote>
  <w:footnote w:id="1">
    <w:p w:rsidR="007145AA" w:rsidRDefault="007145AA">
      <w:pPr>
        <w:pStyle w:val="Footnote"/>
        <w:jc w:val="both"/>
      </w:pPr>
      <w:r>
        <w:rPr>
          <w:vertAlign w:val="superscript"/>
        </w:rPr>
        <w:footnoteRef/>
      </w:r>
      <w:r>
        <w:t xml:space="preserve"> Данный вид разрешенного использования земельного участка указан в разделе «Виды разрешенного использования» выписки из Единого государственного реестра недвижимости об объекте недвижимости.</w:t>
      </w:r>
    </w:p>
  </w:footnote>
  <w:footnote w:id="2">
    <w:p w:rsidR="007145AA" w:rsidRDefault="007145AA" w:rsidP="00455CFD">
      <w:pPr>
        <w:pStyle w:val="Footnote"/>
        <w:jc w:val="both"/>
      </w:pPr>
      <w:r>
        <w:rPr>
          <w:vertAlign w:val="superscript"/>
        </w:rPr>
        <w:footnoteRef/>
      </w:r>
      <w:r>
        <w:t xml:space="preserve"> Согласно сведениям, предоставленным филиалом ПАО «</w:t>
      </w:r>
      <w:proofErr w:type="spellStart"/>
      <w:r>
        <w:t>Россети</w:t>
      </w:r>
      <w:proofErr w:type="spellEnd"/>
      <w:r>
        <w:t xml:space="preserve"> Центр» - «Курскэнерго»: ближайший центр питания ПС 35/10 Глазово расположен на расстоянии около 9.5 км по прямой до границы земельного участка, резерв мощности для технологического присоединения составляет 2,302709 MBA. Срок действия технических условий, а также срок реализации договора технологического присоединения в соответствии с правилами ТП составляет два года. 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п. 10 «Правил технологического присоединения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(утверждены Постановлением Правительства РФ от 27 декабря 2004 г. 861 с изменениями и дополнениями, и заключить договор на технологическое присоединение. Плата за технологическое присоединение определяется в соответствии с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протяжённости и способа прокладки ЛЭП, количества и мощности трансформаторных подстанций, которые определяются в ходе разработки технических условий.</w:t>
      </w:r>
    </w:p>
  </w:footnote>
  <w:footnote w:id="3">
    <w:p w:rsidR="007145AA" w:rsidRDefault="007145AA" w:rsidP="004B0846">
      <w:pPr>
        <w:pStyle w:val="aff3"/>
        <w:jc w:val="both"/>
      </w:pPr>
      <w:r>
        <w:rPr>
          <w:rStyle w:val="aff5"/>
        </w:rPr>
        <w:footnoteRef/>
      </w:r>
      <w:r>
        <w:t xml:space="preserve"> Согласно сведениям, предоставленным ПАО «Ростелеком»: в границах земельного участка с кадастровым номером 46:09:1708004:154, расположенном по адресу: Курская область, </w:t>
      </w:r>
      <w:proofErr w:type="spellStart"/>
      <w:r>
        <w:t>Конышевский</w:t>
      </w:r>
      <w:proofErr w:type="spellEnd"/>
      <w:r>
        <w:t xml:space="preserve"> район, </w:t>
      </w:r>
      <w:proofErr w:type="spellStart"/>
      <w:r>
        <w:t>Малогородьковский</w:t>
      </w:r>
      <w:proofErr w:type="spellEnd"/>
      <w:r>
        <w:t xml:space="preserve"> сельский совет, деревня Большое </w:t>
      </w:r>
      <w:proofErr w:type="spellStart"/>
      <w:r>
        <w:t>Городьково</w:t>
      </w:r>
      <w:proofErr w:type="spellEnd"/>
      <w:r>
        <w:t>, возможная точка подключения (технологического присоединения) к сетям ПАО «Ростелеком» АТС - 562 (</w:t>
      </w:r>
      <w:proofErr w:type="spellStart"/>
      <w:r>
        <w:t>рп</w:t>
      </w:r>
      <w:proofErr w:type="spellEnd"/>
      <w:r>
        <w:t xml:space="preserve">. </w:t>
      </w:r>
      <w:proofErr w:type="spellStart"/>
      <w:r>
        <w:t>Конышевка</w:t>
      </w:r>
      <w:proofErr w:type="spellEnd"/>
      <w:r>
        <w:t xml:space="preserve">, ул. Ленина, 63).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Курский филиал  ПАО «Ростелеком» по адресу: г. Курск, ул. Радищева, д. 26. </w:t>
      </w:r>
      <w:proofErr w:type="spellStart"/>
      <w:r>
        <w:t>Email</w:t>
      </w:r>
      <w:proofErr w:type="spellEnd"/>
      <w:r>
        <w:t>: post_kursk@center.rt.ru</w:t>
      </w:r>
    </w:p>
  </w:footnote>
  <w:footnote w:id="4">
    <w:p w:rsidR="007145AA" w:rsidRDefault="007145AA">
      <w:pPr>
        <w:pStyle w:val="Footnote"/>
        <w:jc w:val="both"/>
      </w:pPr>
      <w:r>
        <w:rPr>
          <w:vertAlign w:val="superscript"/>
        </w:rPr>
        <w:footnoteRef/>
      </w:r>
      <w:r>
        <w:t xml:space="preserve"> Примечание: здесь и далее – под «Претендентом» в формулировках электронной площадки понимается термин «Заявитель», используемый в Земельном кодексе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B"/>
    <w:rsid w:val="000246DD"/>
    <w:rsid w:val="00116BE9"/>
    <w:rsid w:val="00127188"/>
    <w:rsid w:val="0014234C"/>
    <w:rsid w:val="00165D62"/>
    <w:rsid w:val="001A2041"/>
    <w:rsid w:val="001B6044"/>
    <w:rsid w:val="001E432B"/>
    <w:rsid w:val="00211F13"/>
    <w:rsid w:val="00216D68"/>
    <w:rsid w:val="002442F7"/>
    <w:rsid w:val="002E0AD4"/>
    <w:rsid w:val="00344E6C"/>
    <w:rsid w:val="00416301"/>
    <w:rsid w:val="00423841"/>
    <w:rsid w:val="00435150"/>
    <w:rsid w:val="0043737F"/>
    <w:rsid w:val="00455CFD"/>
    <w:rsid w:val="00480B53"/>
    <w:rsid w:val="004B0846"/>
    <w:rsid w:val="004C5364"/>
    <w:rsid w:val="004F5A51"/>
    <w:rsid w:val="005B5B8C"/>
    <w:rsid w:val="00662275"/>
    <w:rsid w:val="006822E8"/>
    <w:rsid w:val="007145AA"/>
    <w:rsid w:val="007319FC"/>
    <w:rsid w:val="00787277"/>
    <w:rsid w:val="007C2779"/>
    <w:rsid w:val="007F181C"/>
    <w:rsid w:val="008E0A3F"/>
    <w:rsid w:val="008F0F67"/>
    <w:rsid w:val="008F63AD"/>
    <w:rsid w:val="009810F5"/>
    <w:rsid w:val="00A41B3C"/>
    <w:rsid w:val="00A45792"/>
    <w:rsid w:val="00AB09CA"/>
    <w:rsid w:val="00AE05B1"/>
    <w:rsid w:val="00B00691"/>
    <w:rsid w:val="00B233FE"/>
    <w:rsid w:val="00B26F52"/>
    <w:rsid w:val="00B842D7"/>
    <w:rsid w:val="00C2039E"/>
    <w:rsid w:val="00CB0802"/>
    <w:rsid w:val="00D45341"/>
    <w:rsid w:val="00D90596"/>
    <w:rsid w:val="00DA75E6"/>
    <w:rsid w:val="00DE6182"/>
    <w:rsid w:val="00E03D1F"/>
    <w:rsid w:val="00EC740E"/>
    <w:rsid w:val="00F12BFB"/>
    <w:rsid w:val="00F7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AP/Notice/653/Requisi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tp.sberbank-ast.ru/AP/Notice/3241/Tarif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08BE-E7E2-406E-86B0-6CD85F80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12072</Words>
  <Characters>68814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Turchina</cp:lastModifiedBy>
  <cp:revision>145</cp:revision>
  <cp:lastPrinted>2025-02-06T08:07:00Z</cp:lastPrinted>
  <dcterms:created xsi:type="dcterms:W3CDTF">2025-02-04T12:52:00Z</dcterms:created>
  <dcterms:modified xsi:type="dcterms:W3CDTF">2025-02-07T07:07:00Z</dcterms:modified>
</cp:coreProperties>
</file>