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BD" w:rsidRDefault="00D85FB3">
      <w:pPr>
        <w:keepNext/>
        <w:widowControl w:val="0"/>
        <w:ind w:firstLine="284"/>
        <w:contextualSpacing/>
        <w:jc w:val="right"/>
      </w:pPr>
      <w:r>
        <w:t>Приложение № 1</w:t>
      </w:r>
    </w:p>
    <w:p w:rsidR="001759BD" w:rsidRDefault="00D85FB3">
      <w:pPr>
        <w:spacing w:line="192" w:lineRule="auto"/>
        <w:jc w:val="right"/>
      </w:pPr>
      <w:r>
        <w:t>к документации об электронном аукционе</w:t>
      </w:r>
    </w:p>
    <w:p w:rsidR="001759BD" w:rsidRDefault="001759BD">
      <w:pPr>
        <w:spacing w:line="192" w:lineRule="auto"/>
        <w:jc w:val="center"/>
        <w:rPr>
          <w:b/>
        </w:rPr>
      </w:pPr>
    </w:p>
    <w:p w:rsidR="001759BD" w:rsidRDefault="00D85FB3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759BD" w:rsidRDefault="00D85FB3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759BD" w:rsidRDefault="001759BD">
      <w:pPr>
        <w:ind w:left="-284"/>
        <w:rPr>
          <w:sz w:val="20"/>
        </w:rPr>
      </w:pPr>
      <w:bookmarkStart w:id="0" w:name="OLE_LINK6"/>
      <w:bookmarkStart w:id="1" w:name="OLE_LINK5"/>
      <w:bookmarkEnd w:id="0"/>
      <w:bookmarkEnd w:id="1"/>
    </w:p>
    <w:p w:rsidR="001759BD" w:rsidRDefault="00D85FB3">
      <w:pPr>
        <w:ind w:left="-284"/>
        <w:rPr>
          <w:sz w:val="20"/>
        </w:rPr>
      </w:pPr>
      <w:r>
        <w:rPr>
          <w:b/>
          <w:sz w:val="22"/>
        </w:rPr>
        <w:t xml:space="preserve">Заявитель </w:t>
      </w:r>
      <w:r>
        <w:rPr>
          <w:sz w:val="22"/>
        </w:rPr>
        <w:t xml:space="preserve">   </w:t>
      </w:r>
      <w:r>
        <w:rPr>
          <w:sz w:val="20"/>
        </w:rPr>
        <w:t xml:space="preserve"> </w:t>
      </w:r>
    </w:p>
    <w:p w:rsidR="001759BD" w:rsidRDefault="00D85FB3">
      <w:pPr>
        <w:ind w:left="-284"/>
        <w:jc w:val="center"/>
        <w:rPr>
          <w:sz w:val="20"/>
        </w:rPr>
      </w:pPr>
      <w:r>
        <w:rPr>
          <w:sz w:val="20"/>
        </w:rPr>
        <w:t xml:space="preserve">           </w:t>
      </w:r>
      <w:r>
        <w:rPr>
          <w:sz w:val="18"/>
        </w:rPr>
        <w:t>(Ф.И.О. физического лица)</w:t>
      </w:r>
    </w:p>
    <w:p w:rsidR="001759BD" w:rsidRDefault="001759BD">
      <w:pPr>
        <w:ind w:left="-284"/>
        <w:jc w:val="center"/>
        <w:rPr>
          <w:sz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352"/>
      </w:tblGrid>
      <w:tr w:rsidR="001759BD">
        <w:trPr>
          <w:trHeight w:val="1124"/>
        </w:trPr>
        <w:tc>
          <w:tcPr>
            <w:tcW w:w="10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759BD" w:rsidRDefault="00D85FB3">
            <w:pPr>
              <w:spacing w:line="276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(заполняется данными физического лица - </w:t>
            </w:r>
            <w:r>
              <w:rPr>
                <w:b/>
                <w:sz w:val="22"/>
              </w:rPr>
              <w:t>Заявителя)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Паспортные данные: серия  ____________________ №_________________</w:t>
            </w:r>
            <w:proofErr w:type="gramStart"/>
            <w:r>
              <w:rPr>
                <w:sz w:val="22"/>
                <w:u w:val="single"/>
              </w:rPr>
              <w:t xml:space="preserve">   ,</w:t>
            </w:r>
            <w:proofErr w:type="gramEnd"/>
            <w:r>
              <w:rPr>
                <w:sz w:val="22"/>
                <w:u w:val="single"/>
              </w:rPr>
              <w:t xml:space="preserve"> дата выдачи_______________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кем </w:t>
            </w:r>
            <w:proofErr w:type="gramStart"/>
            <w:r>
              <w:rPr>
                <w:sz w:val="22"/>
                <w:u w:val="single"/>
              </w:rPr>
              <w:t>выдан</w:t>
            </w:r>
            <w:proofErr w:type="gramEnd"/>
            <w:r>
              <w:rPr>
                <w:sz w:val="22"/>
                <w:u w:val="single"/>
              </w:rPr>
              <w:t>:__________________________________________________________________________________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Адрес места жительства (по паспорту):_________________</w:t>
            </w:r>
            <w:r>
              <w:rPr>
                <w:sz w:val="22"/>
                <w:u w:val="single"/>
              </w:rPr>
              <w:t xml:space="preserve">_________________________________________  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Почтовый адрес (для корреспонденции):_________________________________________________________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e-</w:t>
            </w:r>
            <w:proofErr w:type="spellStart"/>
            <w:r>
              <w:rPr>
                <w:sz w:val="22"/>
                <w:u w:val="single"/>
              </w:rPr>
              <w:t>mail</w:t>
            </w:r>
            <w:proofErr w:type="spellEnd"/>
            <w:r>
              <w:rPr>
                <w:sz w:val="22"/>
                <w:u w:val="single"/>
              </w:rPr>
              <w:t xml:space="preserve"> (для корреспонденции):__________________________________________________________________  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Контактный телефо</w:t>
            </w:r>
            <w:r>
              <w:rPr>
                <w:sz w:val="22"/>
                <w:u w:val="single"/>
              </w:rPr>
              <w:t xml:space="preserve">н:_________________________________________________________________________         </w:t>
            </w:r>
          </w:p>
        </w:tc>
      </w:tr>
      <w:tr w:rsidR="001759BD">
        <w:trPr>
          <w:trHeight w:val="1179"/>
        </w:trPr>
        <w:tc>
          <w:tcPr>
            <w:tcW w:w="103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1759BD" w:rsidRDefault="00D85FB3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Представитель Заявителя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    </w:t>
            </w:r>
          </w:p>
          <w:p w:rsidR="001759BD" w:rsidRDefault="001759BD">
            <w:pPr>
              <w:spacing w:line="276" w:lineRule="auto"/>
              <w:jc w:val="both"/>
              <w:rPr>
                <w:sz w:val="22"/>
              </w:rPr>
            </w:pPr>
          </w:p>
          <w:p w:rsidR="001759BD" w:rsidRDefault="00D85FB3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(Ф.И.О.)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sz w:val="22"/>
                <w:u w:val="single"/>
              </w:rPr>
              <w:t>от</w:t>
            </w:r>
            <w:proofErr w:type="gramEnd"/>
            <w:r>
              <w:rPr>
                <w:sz w:val="22"/>
                <w:u w:val="single"/>
              </w:rPr>
              <w:t xml:space="preserve"> _______________, №______________________________________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кем </w:t>
            </w:r>
            <w:proofErr w:type="gramStart"/>
            <w:r>
              <w:rPr>
                <w:sz w:val="22"/>
                <w:u w:val="single"/>
              </w:rPr>
              <w:t>выдан</w:t>
            </w:r>
            <w:proofErr w:type="gramEnd"/>
            <w:r>
              <w:rPr>
                <w:sz w:val="22"/>
                <w:u w:val="single"/>
              </w:rPr>
              <w:t xml:space="preserve">:__________________________________________________________________________________  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Адрес места жительства (по паспорту):__________________________</w:t>
            </w:r>
            <w:r>
              <w:rPr>
                <w:sz w:val="22"/>
                <w:u w:val="single"/>
              </w:rPr>
              <w:t>________________________________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Почтовый адрес (для корреспонденции):_________________________________________________________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e-</w:t>
            </w:r>
            <w:proofErr w:type="spellStart"/>
            <w:r>
              <w:rPr>
                <w:sz w:val="22"/>
                <w:u w:val="single"/>
              </w:rPr>
              <w:t>mail</w:t>
            </w:r>
            <w:proofErr w:type="spellEnd"/>
            <w:r>
              <w:rPr>
                <w:sz w:val="22"/>
                <w:u w:val="single"/>
              </w:rPr>
              <w:t xml:space="preserve"> (для корреспонденции):__________________________________________________________________       </w:t>
            </w:r>
          </w:p>
          <w:p w:rsidR="001759BD" w:rsidRDefault="00D85FB3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Контактный телефон:______</w:t>
            </w:r>
            <w:r>
              <w:rPr>
                <w:sz w:val="22"/>
                <w:u w:val="single"/>
              </w:rPr>
              <w:t>___________________________________________________________________</w:t>
            </w:r>
          </w:p>
          <w:p w:rsidR="001759BD" w:rsidRDefault="001759BD">
            <w:pPr>
              <w:spacing w:line="276" w:lineRule="auto"/>
              <w:jc w:val="both"/>
              <w:rPr>
                <w:sz w:val="6"/>
              </w:rPr>
            </w:pPr>
          </w:p>
        </w:tc>
      </w:tr>
    </w:tbl>
    <w:p w:rsidR="001759BD" w:rsidRDefault="001759BD">
      <w:pPr>
        <w:widowControl w:val="0"/>
        <w:spacing w:before="1" w:after="1" w:line="192" w:lineRule="auto"/>
        <w:ind w:left="-426"/>
        <w:jc w:val="both"/>
        <w:rPr>
          <w:b/>
          <w:sz w:val="19"/>
        </w:rPr>
      </w:pPr>
    </w:p>
    <w:p w:rsidR="001759BD" w:rsidRDefault="00D85FB3">
      <w:pPr>
        <w:tabs>
          <w:tab w:val="left" w:pos="426"/>
        </w:tabs>
        <w:ind w:left="284"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088"/>
      </w:tblGrid>
      <w:tr w:rsidR="001759BD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b/>
                <w:sz w:val="22"/>
              </w:rPr>
              <w:t>Получатель</w:t>
            </w: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  <w:tr w:rsidR="001759BD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b/>
                <w:sz w:val="22"/>
              </w:rPr>
              <w:t>Банк получателя</w:t>
            </w: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  <w:tr w:rsidR="001759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D85FB3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59BD" w:rsidRDefault="001759BD">
            <w:pPr>
              <w:ind w:firstLine="143"/>
              <w:rPr>
                <w:sz w:val="22"/>
              </w:rPr>
            </w:pPr>
          </w:p>
        </w:tc>
      </w:tr>
    </w:tbl>
    <w:p w:rsidR="001759BD" w:rsidRDefault="001759BD">
      <w:pPr>
        <w:widowControl w:val="0"/>
        <w:spacing w:before="1" w:after="1" w:line="192" w:lineRule="auto"/>
        <w:ind w:left="-426"/>
        <w:jc w:val="both"/>
        <w:rPr>
          <w:b/>
          <w:sz w:val="20"/>
        </w:rPr>
      </w:pPr>
    </w:p>
    <w:p w:rsidR="001759BD" w:rsidRDefault="001759BD">
      <w:pPr>
        <w:widowControl w:val="0"/>
        <w:spacing w:before="1" w:after="1" w:line="192" w:lineRule="auto"/>
        <w:ind w:left="-426"/>
        <w:jc w:val="both"/>
        <w:rPr>
          <w:b/>
          <w:sz w:val="20"/>
        </w:rPr>
      </w:pPr>
    </w:p>
    <w:p w:rsidR="001759BD" w:rsidRDefault="00D85FB3">
      <w:pPr>
        <w:widowControl w:val="0"/>
        <w:spacing w:before="1" w:after="1"/>
        <w:ind w:left="-426"/>
        <w:jc w:val="both"/>
        <w:rPr>
          <w:b/>
          <w:sz w:val="22"/>
        </w:rPr>
      </w:pPr>
      <w:proofErr w:type="gramStart"/>
      <w:r>
        <w:rPr>
          <w:b/>
          <w:sz w:val="22"/>
        </w:rPr>
        <w:t>принял решение об участии в электронном аукционе на право заключения договора аренды земельного участка, государственная собственность на который не разграничена, ограничений (обременений) прав не зарегистрировано, расположенног</w:t>
      </w:r>
      <w:r>
        <w:rPr>
          <w:b/>
          <w:sz w:val="22"/>
        </w:rPr>
        <w:t xml:space="preserve">о на территории муниципального </w:t>
      </w:r>
      <w:r w:rsidR="00B3740E">
        <w:rPr>
          <w:b/>
          <w:sz w:val="22"/>
        </w:rPr>
        <w:t>образования</w:t>
      </w:r>
      <w:r>
        <w:rPr>
          <w:b/>
          <w:sz w:val="22"/>
        </w:rPr>
        <w:t xml:space="preserve"> «</w:t>
      </w:r>
      <w:proofErr w:type="spellStart"/>
      <w:r>
        <w:rPr>
          <w:b/>
          <w:sz w:val="22"/>
        </w:rPr>
        <w:t>Конышевский</w:t>
      </w:r>
      <w:proofErr w:type="spellEnd"/>
      <w:r>
        <w:rPr>
          <w:b/>
          <w:sz w:val="22"/>
        </w:rPr>
        <w:t xml:space="preserve"> </w:t>
      </w:r>
      <w:r w:rsidR="00B3740E">
        <w:rPr>
          <w:b/>
          <w:sz w:val="22"/>
        </w:rPr>
        <w:t xml:space="preserve">муниципальный </w:t>
      </w:r>
      <w:r>
        <w:rPr>
          <w:b/>
          <w:sz w:val="22"/>
        </w:rPr>
        <w:t xml:space="preserve">район» Курской области, из категории земель населённых пунктов, разрешенное использование – для ведения личного подсобного хозяйства, площадью 1500 </w:t>
      </w:r>
      <w:proofErr w:type="spellStart"/>
      <w:r>
        <w:rPr>
          <w:b/>
          <w:sz w:val="22"/>
        </w:rPr>
        <w:t>кв.м</w:t>
      </w:r>
      <w:proofErr w:type="spellEnd"/>
      <w:r>
        <w:rPr>
          <w:b/>
          <w:sz w:val="22"/>
        </w:rPr>
        <w:t>., кадастровый номер 46:09:080202:154, местоположение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Курская область, </w:t>
      </w:r>
      <w:proofErr w:type="spellStart"/>
      <w:r>
        <w:rPr>
          <w:b/>
          <w:sz w:val="22"/>
        </w:rPr>
        <w:t>Конышевский</w:t>
      </w:r>
      <w:proofErr w:type="spellEnd"/>
      <w:r>
        <w:rPr>
          <w:b/>
          <w:sz w:val="22"/>
        </w:rPr>
        <w:t xml:space="preserve"> р-н, </w:t>
      </w:r>
      <w:proofErr w:type="spellStart"/>
      <w:r>
        <w:rPr>
          <w:b/>
          <w:sz w:val="22"/>
        </w:rPr>
        <w:t>Малогородьковский</w:t>
      </w:r>
      <w:proofErr w:type="spellEnd"/>
      <w:r>
        <w:rPr>
          <w:b/>
          <w:sz w:val="22"/>
        </w:rPr>
        <w:t xml:space="preserve"> с/с, д. </w:t>
      </w:r>
      <w:proofErr w:type="gramStart"/>
      <w:r>
        <w:rPr>
          <w:b/>
          <w:sz w:val="22"/>
        </w:rPr>
        <w:t>Большое</w:t>
      </w:r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Городьково</w:t>
      </w:r>
      <w:proofErr w:type="spellEnd"/>
      <w:r>
        <w:rPr>
          <w:b/>
          <w:sz w:val="22"/>
        </w:rPr>
        <w:t>,</w:t>
      </w:r>
    </w:p>
    <w:p w:rsidR="001759BD" w:rsidRDefault="00D85FB3">
      <w:pPr>
        <w:widowControl w:val="0"/>
        <w:spacing w:before="1" w:after="1"/>
        <w:ind w:left="-426"/>
        <w:jc w:val="both"/>
        <w:rPr>
          <w:b/>
          <w:sz w:val="22"/>
        </w:rPr>
      </w:pPr>
      <w:proofErr w:type="gramStart"/>
      <w:r>
        <w:rPr>
          <w:b/>
          <w:sz w:val="22"/>
        </w:rPr>
        <w:t>и обязуется обеспечить поступление задатка в размере _________________________ руб. ____________ коп. (_______________________________________________________________________</w:t>
      </w:r>
      <w:r>
        <w:rPr>
          <w:b/>
          <w:sz w:val="22"/>
        </w:rPr>
        <w:t xml:space="preserve">________________________) (сумма прописью),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муниципального </w:t>
      </w:r>
      <w:r w:rsidR="00B3740E">
        <w:rPr>
          <w:b/>
          <w:sz w:val="22"/>
        </w:rPr>
        <w:t>образования</w:t>
      </w:r>
      <w:r>
        <w:rPr>
          <w:b/>
          <w:sz w:val="22"/>
        </w:rPr>
        <w:t xml:space="preserve"> «</w:t>
      </w:r>
      <w:proofErr w:type="spellStart"/>
      <w:r>
        <w:rPr>
          <w:b/>
          <w:sz w:val="22"/>
        </w:rPr>
        <w:t>Конышевский</w:t>
      </w:r>
      <w:proofErr w:type="spellEnd"/>
      <w:r>
        <w:rPr>
          <w:b/>
          <w:sz w:val="22"/>
        </w:rPr>
        <w:t xml:space="preserve"> </w:t>
      </w:r>
      <w:r w:rsidR="00B3740E">
        <w:rPr>
          <w:b/>
          <w:sz w:val="22"/>
        </w:rPr>
        <w:t xml:space="preserve">муниципальный </w:t>
      </w:r>
      <w:bookmarkStart w:id="2" w:name="_GoBack"/>
      <w:bookmarkEnd w:id="2"/>
      <w:r>
        <w:rPr>
          <w:b/>
          <w:sz w:val="22"/>
        </w:rPr>
        <w:t>район» Курской обл</w:t>
      </w:r>
      <w:r>
        <w:rPr>
          <w:b/>
          <w:sz w:val="22"/>
        </w:rPr>
        <w:t>асти (далее -  документация об электронном аукционе), и в соответствии с Регламентами электронной площадки (Регламентом Торговой секции «Приватизация, аренда и продажа прав» Универсальной</w:t>
      </w:r>
      <w:proofErr w:type="gramEnd"/>
      <w:r>
        <w:rPr>
          <w:b/>
          <w:sz w:val="22"/>
        </w:rPr>
        <w:t xml:space="preserve"> торговой платформы АО «Сбербанк-АСТ» и Регламентом Универсальной тор</w:t>
      </w:r>
      <w:r>
        <w:rPr>
          <w:b/>
          <w:sz w:val="22"/>
        </w:rPr>
        <w:t>говой платформы АО «Сбербанк-АСТ», далее – Регламенты Оператора электронной площадки).</w:t>
      </w:r>
    </w:p>
    <w:p w:rsidR="001759BD" w:rsidRDefault="001759BD">
      <w:pPr>
        <w:widowControl w:val="0"/>
        <w:spacing w:before="1" w:after="1" w:line="192" w:lineRule="auto"/>
        <w:ind w:left="-426"/>
        <w:jc w:val="both"/>
        <w:rPr>
          <w:b/>
          <w:sz w:val="19"/>
        </w:rPr>
      </w:pP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 xml:space="preserve"> Заявитель обязуется:</w:t>
      </w:r>
    </w:p>
    <w:p w:rsidR="001759BD" w:rsidRDefault="00D85FB3">
      <w:pPr>
        <w:numPr>
          <w:ilvl w:val="1"/>
          <w:numId w:val="1"/>
        </w:numPr>
        <w:tabs>
          <w:tab w:val="clear" w:pos="357"/>
        </w:tabs>
        <w:ind w:left="-142" w:hanging="284"/>
        <w:jc w:val="both"/>
        <w:rPr>
          <w:sz w:val="22"/>
        </w:rPr>
      </w:pPr>
      <w:r>
        <w:rPr>
          <w:sz w:val="22"/>
        </w:rPr>
        <w:lastRenderedPageBreak/>
        <w:t xml:space="preserve"> Соблюдать условия и порядок проведения электронного аукциона, содержащиеся в документации об электронном аукционе и Регламентах</w:t>
      </w:r>
      <w:r>
        <w:rPr>
          <w:sz w:val="22"/>
        </w:rPr>
        <w:t xml:space="preserve"> Оператора электронной площадки.</w:t>
      </w:r>
      <w:r>
        <w:rPr>
          <w:sz w:val="22"/>
          <w:vertAlign w:val="superscript"/>
        </w:rPr>
        <w:footnoteReference w:id="2"/>
      </w:r>
    </w:p>
    <w:p w:rsidR="001759BD" w:rsidRDefault="00D85FB3">
      <w:pPr>
        <w:numPr>
          <w:ilvl w:val="1"/>
          <w:numId w:val="1"/>
        </w:numPr>
        <w:tabs>
          <w:tab w:val="clear" w:pos="357"/>
        </w:tabs>
        <w:ind w:left="-142" w:hanging="284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 xml:space="preserve">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</w:t>
      </w:r>
      <w:r>
        <w:rPr>
          <w:sz w:val="22"/>
        </w:rPr>
        <w:t xml:space="preserve">аренды земельного участка с Арендодателем, подписать акт приема-передачи в соответствии с порядком, сроками и требованиями, установленными в документации об электронном аукционе, и договором аренды земельного участка. </w:t>
      </w:r>
      <w:proofErr w:type="gramEnd"/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 xml:space="preserve"> Задаток, внесенный лицом, признанным</w:t>
      </w:r>
      <w:r>
        <w:rPr>
          <w:sz w:val="22"/>
        </w:rPr>
        <w:t xml:space="preserve"> победителем аукциона, задаток, внесенный иным лицом, с которым договор аренды</w:t>
      </w:r>
      <w:r>
        <w:rPr>
          <w:color w:val="FF0000"/>
          <w:sz w:val="22"/>
        </w:rPr>
        <w:t xml:space="preserve"> </w:t>
      </w:r>
      <w:r>
        <w:rPr>
          <w:sz w:val="22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</w:t>
      </w:r>
      <w:r>
        <w:rPr>
          <w:sz w:val="22"/>
        </w:rPr>
        <w:t>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</w:pPr>
      <w:r>
        <w:rPr>
          <w:sz w:val="22"/>
        </w:rPr>
        <w:t>Заявитель согласен и принимает все условия, требова</w:t>
      </w:r>
      <w:r>
        <w:rPr>
          <w:sz w:val="22"/>
        </w:rPr>
        <w:t>ния, положения документации об электронном аукционе, проекта договора аренды земельного участка, являющегося неотъемлемой частью документации об электронном аукционе, и Регламентов Оператора электронной площадки, и они ему понятны. Заявителю известно факти</w:t>
      </w:r>
      <w:r>
        <w:rPr>
          <w:sz w:val="22"/>
        </w:rPr>
        <w:t xml:space="preserve">ческое состояние и характеристики передаваемого в аренду земельного участка, и он не имеет претензий к ним. </w:t>
      </w: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</w:t>
      </w:r>
      <w:r>
        <w:rPr>
          <w:sz w:val="22"/>
        </w:rPr>
        <w:t>ектронном аукционе, в порядке, установленном в документации об электронном аукционе.</w:t>
      </w: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 xml:space="preserve"> Ответственность за достоверность представленных документов и информации несет Заявитель. </w:t>
      </w: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>Заявитель подтверждает, что на дату подписания настоящей Заявки ознакомлен с пор</w:t>
      </w:r>
      <w:r>
        <w:rPr>
          <w:sz w:val="22"/>
        </w:rPr>
        <w:t>ядком проведения электронного аукциона, порядком внесения, блокирования и прекращения блокирования денежных сре</w:t>
      </w:r>
      <w:proofErr w:type="gramStart"/>
      <w:r>
        <w:rPr>
          <w:sz w:val="22"/>
        </w:rPr>
        <w:t>дств в к</w:t>
      </w:r>
      <w:proofErr w:type="gramEnd"/>
      <w:r>
        <w:rPr>
          <w:sz w:val="22"/>
        </w:rPr>
        <w:t>ачестве задатка, документацией об электронном аукционе и проектом</w:t>
      </w:r>
      <w:r>
        <w:rPr>
          <w:color w:val="FF0000"/>
          <w:sz w:val="22"/>
        </w:rPr>
        <w:t xml:space="preserve"> </w:t>
      </w:r>
      <w:r>
        <w:rPr>
          <w:sz w:val="22"/>
        </w:rPr>
        <w:t>договора аренды земельного участка, являющимся неотъемлемой частью доку</w:t>
      </w:r>
      <w:r>
        <w:rPr>
          <w:sz w:val="22"/>
        </w:rPr>
        <w:t>ментации об электронном аукционе,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</w:t>
      </w:r>
      <w:r>
        <w:rPr>
          <w:sz w:val="22"/>
        </w:rPr>
        <w:t>ахождения земельного участка.</w:t>
      </w:r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r>
        <w:rPr>
          <w:sz w:val="22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</w:t>
      </w:r>
      <w:r>
        <w:rPr>
          <w:sz w:val="22"/>
        </w:rPr>
        <w:t xml:space="preserve">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</w:t>
      </w:r>
      <w:proofErr w:type="gramStart"/>
      <w:r>
        <w:rPr>
          <w:sz w:val="22"/>
        </w:rPr>
        <w:t>При этом Заявитель считается уведомленным об отмене электронного аукциона, внесении из</w:t>
      </w:r>
      <w:r>
        <w:rPr>
          <w:sz w:val="22"/>
        </w:rPr>
        <w:t>менений 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</w:t>
      </w:r>
      <w:r>
        <w:rPr>
          <w:sz w:val="22"/>
        </w:rPr>
        <w:t xml:space="preserve">ти «Интернет» для размещения информации о проведении торгов </w:t>
      </w:r>
      <w:r>
        <w:rPr>
          <w:rStyle w:val="15"/>
          <w:sz w:val="22"/>
        </w:rPr>
        <w:t>ГИС «Торги» (</w:t>
      </w:r>
      <w:r>
        <w:rPr>
          <w:sz w:val="22"/>
        </w:rPr>
        <w:t>https://torgi.gov.ru/</w:t>
      </w:r>
      <w:r>
        <w:rPr>
          <w:rStyle w:val="15"/>
          <w:sz w:val="22"/>
        </w:rPr>
        <w:t xml:space="preserve">) </w:t>
      </w:r>
      <w:r>
        <w:rPr>
          <w:sz w:val="22"/>
        </w:rPr>
        <w:t>и сайте Оператора электронной площадки.</w:t>
      </w:r>
      <w:r>
        <w:rPr>
          <w:sz w:val="22"/>
          <w:u w:val="single"/>
        </w:rPr>
        <w:t xml:space="preserve"> </w:t>
      </w:r>
      <w:proofErr w:type="gramEnd"/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proofErr w:type="gramStart"/>
      <w:r>
        <w:rPr>
          <w:sz w:val="22"/>
        </w:rPr>
        <w:t>Условия электронного аукциона, порядок и условия заключения договора аренды земельного участка с Участником электронног</w:t>
      </w:r>
      <w:r>
        <w:rPr>
          <w:sz w:val="22"/>
        </w:rPr>
        <w:t>о аукциона являются условиями публичной оферты, а подача Заявки на участие в электронном 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  <w:proofErr w:type="gramEnd"/>
    </w:p>
    <w:p w:rsidR="001759BD" w:rsidRDefault="00D85FB3">
      <w:pPr>
        <w:numPr>
          <w:ilvl w:val="0"/>
          <w:numId w:val="1"/>
        </w:numPr>
        <w:tabs>
          <w:tab w:val="clear" w:pos="360"/>
        </w:tabs>
        <w:ind w:left="-142" w:hanging="284"/>
        <w:jc w:val="both"/>
        <w:rPr>
          <w:sz w:val="22"/>
        </w:rPr>
      </w:pPr>
      <w:proofErr w:type="gramStart"/>
      <w:r>
        <w:rPr>
          <w:sz w:val="22"/>
        </w:rPr>
        <w:t>В соотв</w:t>
      </w:r>
      <w:r>
        <w:rPr>
          <w:sz w:val="22"/>
        </w:rPr>
        <w:t xml:space="preserve">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</w:t>
      </w:r>
      <w:r>
        <w:rPr>
          <w:sz w:val="22"/>
        </w:rPr>
        <w:t>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22"/>
        </w:rPr>
        <w:t xml:space="preserve"> При этом общ</w:t>
      </w:r>
      <w:r>
        <w:rPr>
          <w:sz w:val="22"/>
        </w:rPr>
        <w:t xml:space="preserve">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</w:t>
      </w:r>
      <w:r>
        <w:rPr>
          <w:sz w:val="22"/>
        </w:rPr>
        <w:t>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</w:t>
      </w:r>
      <w:r>
        <w:rPr>
          <w:sz w:val="22"/>
        </w:rPr>
        <w:t>ты персональных данных ему известны.</w:t>
      </w:r>
    </w:p>
    <w:sectPr w:rsidR="001759BD">
      <w:pgSz w:w="11906" w:h="16838"/>
      <w:pgMar w:top="720" w:right="424" w:bottom="720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B3" w:rsidRDefault="00D85FB3">
      <w:r>
        <w:separator/>
      </w:r>
    </w:p>
  </w:endnote>
  <w:endnote w:type="continuationSeparator" w:id="0">
    <w:p w:rsidR="00D85FB3" w:rsidRDefault="00D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B3" w:rsidRDefault="00D85FB3">
      <w:r>
        <w:separator/>
      </w:r>
    </w:p>
  </w:footnote>
  <w:footnote w:type="continuationSeparator" w:id="0">
    <w:p w:rsidR="00D85FB3" w:rsidRDefault="00D85FB3">
      <w:r>
        <w:continuationSeparator/>
      </w:r>
    </w:p>
  </w:footnote>
  <w:footnote w:id="1">
    <w:p w:rsidR="001759BD" w:rsidRDefault="00D85FB3">
      <w:pPr>
        <w:ind w:left="-426"/>
        <w:jc w:val="both"/>
      </w:pPr>
      <w:r>
        <w:rPr>
          <w:vertAlign w:val="superscript"/>
        </w:rPr>
        <w:footnoteRef/>
      </w:r>
      <w:r>
        <w:rPr>
          <w:sz w:val="18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">
    <w:p w:rsidR="001759BD" w:rsidRDefault="00D85FB3">
      <w:pPr>
        <w:pStyle w:val="Footnote"/>
        <w:ind w:left="-426"/>
      </w:pPr>
      <w:r>
        <w:rPr>
          <w:vertAlign w:val="superscript"/>
        </w:rPr>
        <w:footnoteRef/>
      </w:r>
      <w:r>
        <w:rPr>
          <w:sz w:val="18"/>
        </w:rPr>
        <w:t xml:space="preserve"> </w:t>
      </w:r>
      <w:proofErr w:type="gramStart"/>
      <w:r>
        <w:rPr>
          <w:sz w:val="18"/>
        </w:rPr>
        <w:t>Ознакомлен</w:t>
      </w:r>
      <w:proofErr w:type="gramEnd"/>
      <w:r>
        <w:rPr>
          <w:sz w:val="18"/>
        </w:rPr>
        <w:t xml:space="preserve">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21A"/>
    <w:multiLevelType w:val="multilevel"/>
    <w:tmpl w:val="65E0C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9BD"/>
    <w:rsid w:val="001759BD"/>
    <w:rsid w:val="00B3740E"/>
    <w:rsid w:val="00D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6767</Characters>
  <Application>Microsoft Office Word</Application>
  <DocSecurity>0</DocSecurity>
  <Lines>56</Lines>
  <Paragraphs>15</Paragraphs>
  <ScaleCrop>false</ScaleCrop>
  <Company>*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2025-02-05T08:05:00Z</dcterms:created>
  <dcterms:modified xsi:type="dcterms:W3CDTF">2025-02-05T08:06:00Z</dcterms:modified>
</cp:coreProperties>
</file>