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1C" w:rsidRPr="00203A1C" w:rsidRDefault="00203A1C" w:rsidP="00203A1C">
      <w:pPr>
        <w:ind w:left="5664" w:firstLine="708"/>
        <w:rPr>
          <w:b/>
          <w:sz w:val="28"/>
          <w:szCs w:val="28"/>
        </w:rPr>
      </w:pPr>
      <w:r w:rsidRPr="00203A1C">
        <w:rPr>
          <w:b/>
          <w:sz w:val="28"/>
          <w:szCs w:val="28"/>
        </w:rPr>
        <w:t>УТВЕРЖД</w:t>
      </w:r>
      <w:r w:rsidR="001859E1">
        <w:rPr>
          <w:b/>
          <w:sz w:val="28"/>
          <w:szCs w:val="28"/>
        </w:rPr>
        <w:t>ЕН</w:t>
      </w:r>
    </w:p>
    <w:p w:rsidR="00203A1C" w:rsidRPr="00203A1C" w:rsidRDefault="007854EF" w:rsidP="00DC1D16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Р</w:t>
      </w:r>
      <w:r w:rsidR="00DC1D1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Председателя</w:t>
      </w:r>
    </w:p>
    <w:p w:rsidR="00203A1C" w:rsidRPr="00203A1C" w:rsidRDefault="00203A1C" w:rsidP="00203A1C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</w:t>
      </w:r>
      <w:r w:rsidR="007854EF">
        <w:rPr>
          <w:sz w:val="28"/>
          <w:szCs w:val="28"/>
        </w:rPr>
        <w:t>Ревизионной комиссии</w:t>
      </w:r>
      <w:r w:rsidRPr="00203A1C">
        <w:rPr>
          <w:sz w:val="28"/>
          <w:szCs w:val="28"/>
        </w:rPr>
        <w:t xml:space="preserve"> </w:t>
      </w:r>
    </w:p>
    <w:p w:rsidR="00203A1C" w:rsidRPr="00203A1C" w:rsidRDefault="00203A1C" w:rsidP="00203A1C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03A1C" w:rsidRPr="00203A1C" w:rsidRDefault="00203A1C" w:rsidP="00203A1C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03A1C" w:rsidRDefault="00203A1C" w:rsidP="001859E1">
      <w:pPr>
        <w:rPr>
          <w:b/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</w:t>
      </w:r>
      <w:r w:rsidR="00260A67">
        <w:rPr>
          <w:sz w:val="28"/>
          <w:szCs w:val="28"/>
        </w:rPr>
        <w:t xml:space="preserve">                             </w:t>
      </w:r>
      <w:r w:rsidR="00260A67" w:rsidRPr="003E63E2">
        <w:rPr>
          <w:sz w:val="28"/>
          <w:szCs w:val="28"/>
        </w:rPr>
        <w:t>2</w:t>
      </w:r>
      <w:r w:rsidR="003E63E2" w:rsidRPr="003E63E2">
        <w:rPr>
          <w:sz w:val="28"/>
          <w:szCs w:val="28"/>
        </w:rPr>
        <w:t>6</w:t>
      </w:r>
      <w:r w:rsidR="00260A67" w:rsidRPr="003E63E2">
        <w:rPr>
          <w:sz w:val="28"/>
          <w:szCs w:val="28"/>
        </w:rPr>
        <w:t xml:space="preserve"> апреля</w:t>
      </w:r>
      <w:r w:rsidR="00BA0776" w:rsidRPr="003E63E2">
        <w:rPr>
          <w:sz w:val="28"/>
          <w:szCs w:val="28"/>
        </w:rPr>
        <w:t xml:space="preserve"> 202</w:t>
      </w:r>
      <w:r w:rsidR="00A03AE5" w:rsidRPr="003E63E2">
        <w:rPr>
          <w:sz w:val="28"/>
          <w:szCs w:val="28"/>
        </w:rPr>
        <w:t>4</w:t>
      </w:r>
      <w:r w:rsidR="00F644F7" w:rsidRPr="003E63E2">
        <w:rPr>
          <w:sz w:val="28"/>
          <w:szCs w:val="28"/>
        </w:rPr>
        <w:t xml:space="preserve"> </w:t>
      </w:r>
      <w:r w:rsidRPr="003E63E2">
        <w:rPr>
          <w:sz w:val="28"/>
          <w:szCs w:val="28"/>
        </w:rPr>
        <w:t>г</w:t>
      </w:r>
      <w:r w:rsidR="005862DF" w:rsidRPr="003E63E2">
        <w:rPr>
          <w:sz w:val="28"/>
          <w:szCs w:val="28"/>
        </w:rPr>
        <w:t>ода №</w:t>
      </w:r>
      <w:r w:rsidR="003E63E2" w:rsidRPr="003E63E2">
        <w:rPr>
          <w:sz w:val="28"/>
          <w:szCs w:val="28"/>
        </w:rPr>
        <w:t>28</w:t>
      </w:r>
    </w:p>
    <w:p w:rsidR="00203A1C" w:rsidRDefault="00203A1C" w:rsidP="00394FF5">
      <w:pPr>
        <w:jc w:val="center"/>
        <w:rPr>
          <w:b/>
          <w:sz w:val="28"/>
          <w:szCs w:val="28"/>
        </w:rPr>
      </w:pPr>
    </w:p>
    <w:p w:rsidR="00203A1C" w:rsidRDefault="00203A1C" w:rsidP="00394FF5">
      <w:pPr>
        <w:jc w:val="center"/>
        <w:rPr>
          <w:b/>
          <w:sz w:val="28"/>
          <w:szCs w:val="28"/>
        </w:rPr>
      </w:pPr>
    </w:p>
    <w:p w:rsidR="00947543" w:rsidRDefault="00C108DC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ОПЕРАТИВНЫЙ </w:t>
      </w:r>
      <w:r w:rsidR="00947543">
        <w:rPr>
          <w:b/>
          <w:sz w:val="28"/>
          <w:szCs w:val="28"/>
        </w:rPr>
        <w:t>ОТЧЕТ</w:t>
      </w:r>
    </w:p>
    <w:p w:rsidR="00947543" w:rsidRDefault="0094754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60FD4">
        <w:rPr>
          <w:b/>
          <w:sz w:val="28"/>
          <w:szCs w:val="28"/>
        </w:rPr>
        <w:t>о</w:t>
      </w:r>
      <w:r w:rsidR="00394F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итогам </w:t>
      </w:r>
      <w:r w:rsidR="00394FF5">
        <w:rPr>
          <w:b/>
          <w:sz w:val="28"/>
          <w:szCs w:val="28"/>
        </w:rPr>
        <w:t>проверк</w:t>
      </w:r>
      <w:r>
        <w:rPr>
          <w:b/>
          <w:sz w:val="28"/>
          <w:szCs w:val="28"/>
        </w:rPr>
        <w:t>и и</w:t>
      </w:r>
      <w:r w:rsidR="00394FF5">
        <w:rPr>
          <w:b/>
          <w:sz w:val="28"/>
          <w:szCs w:val="28"/>
        </w:rPr>
        <w:t>сполнения бюджета</w:t>
      </w:r>
      <w:r w:rsidR="00BC16BC">
        <w:rPr>
          <w:b/>
          <w:sz w:val="28"/>
          <w:szCs w:val="28"/>
        </w:rPr>
        <w:t xml:space="preserve"> </w:t>
      </w:r>
    </w:p>
    <w:p w:rsidR="00BB27B7" w:rsidRDefault="00BB27B7" w:rsidP="00394F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64B1F">
        <w:rPr>
          <w:b/>
          <w:sz w:val="28"/>
          <w:szCs w:val="28"/>
        </w:rPr>
        <w:t>1</w:t>
      </w:r>
      <w:r w:rsidR="001859E1">
        <w:rPr>
          <w:b/>
          <w:sz w:val="28"/>
          <w:szCs w:val="28"/>
        </w:rPr>
        <w:t xml:space="preserve"> </w:t>
      </w:r>
      <w:r w:rsidR="00C64B1F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</w:t>
      </w:r>
      <w:r w:rsidR="008C581A">
        <w:rPr>
          <w:b/>
          <w:sz w:val="28"/>
          <w:szCs w:val="28"/>
        </w:rPr>
        <w:t>2</w:t>
      </w:r>
      <w:r w:rsidR="003E63E2">
        <w:rPr>
          <w:b/>
          <w:sz w:val="28"/>
          <w:szCs w:val="28"/>
        </w:rPr>
        <w:t>4</w:t>
      </w:r>
      <w:r w:rsidR="00BC16BC">
        <w:rPr>
          <w:b/>
          <w:sz w:val="28"/>
          <w:szCs w:val="28"/>
        </w:rPr>
        <w:t xml:space="preserve"> года</w:t>
      </w:r>
    </w:p>
    <w:p w:rsidR="00394FF5" w:rsidRDefault="00394FF5" w:rsidP="00394FF5">
      <w:pPr>
        <w:rPr>
          <w:sz w:val="28"/>
          <w:szCs w:val="28"/>
        </w:rPr>
      </w:pPr>
    </w:p>
    <w:p w:rsidR="00A03AE5" w:rsidRDefault="00394FF5" w:rsidP="00A03AE5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мероприятия:</w:t>
      </w:r>
      <w:r w:rsidR="008C581A">
        <w:rPr>
          <w:b/>
          <w:sz w:val="28"/>
          <w:szCs w:val="28"/>
        </w:rPr>
        <w:t xml:space="preserve"> </w:t>
      </w:r>
      <w:r w:rsidR="00A03AE5">
        <w:rPr>
          <w:sz w:val="28"/>
          <w:szCs w:val="28"/>
        </w:rPr>
        <w:t xml:space="preserve">план деятельности Ревизионной комиссии на 2024 год, утвержденный распоряжением Председателя Ревизионной комиссии </w:t>
      </w:r>
      <w:proofErr w:type="spellStart"/>
      <w:r w:rsidR="00A03AE5">
        <w:rPr>
          <w:sz w:val="28"/>
          <w:szCs w:val="28"/>
        </w:rPr>
        <w:t>Конышевского</w:t>
      </w:r>
      <w:proofErr w:type="spellEnd"/>
      <w:r w:rsidR="00A03AE5">
        <w:rPr>
          <w:sz w:val="28"/>
          <w:szCs w:val="28"/>
        </w:rPr>
        <w:t xml:space="preserve"> района Курской области от 06.12.2023 №47, распоряжение Председателя Ревизионной комиссии </w:t>
      </w:r>
      <w:proofErr w:type="spellStart"/>
      <w:r w:rsidR="00A03AE5">
        <w:rPr>
          <w:sz w:val="28"/>
          <w:szCs w:val="28"/>
        </w:rPr>
        <w:t>Конышевского</w:t>
      </w:r>
      <w:proofErr w:type="spellEnd"/>
      <w:r w:rsidR="00A03AE5">
        <w:rPr>
          <w:sz w:val="28"/>
          <w:szCs w:val="28"/>
        </w:rPr>
        <w:t xml:space="preserve"> района Курской области от 24.04.2024 №27</w:t>
      </w:r>
      <w:r w:rsidR="00A03AE5">
        <w:rPr>
          <w:color w:val="FF0000"/>
          <w:sz w:val="28"/>
          <w:szCs w:val="28"/>
        </w:rPr>
        <w:t>.</w:t>
      </w:r>
    </w:p>
    <w:p w:rsidR="00394FF5" w:rsidRDefault="00394FF5" w:rsidP="004366EB">
      <w:pPr>
        <w:pStyle w:val="23"/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</w:t>
      </w:r>
      <w:r w:rsidR="00F60FD4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394FF5" w:rsidRDefault="00394FF5" w:rsidP="004366EB">
      <w:pPr>
        <w:ind w:right="-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</w:t>
      </w:r>
      <w:r w:rsidR="00F60FD4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>:</w:t>
      </w:r>
      <w:r w:rsidR="008C581A">
        <w:rPr>
          <w:b/>
          <w:sz w:val="28"/>
          <w:szCs w:val="28"/>
        </w:rPr>
        <w:t xml:space="preserve"> </w:t>
      </w:r>
    </w:p>
    <w:p w:rsidR="001859E1" w:rsidRPr="001859E1" w:rsidRDefault="001859E1" w:rsidP="001859E1">
      <w:pPr>
        <w:pStyle w:val="af9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1859E1">
        <w:rPr>
          <w:sz w:val="28"/>
          <w:szCs w:val="28"/>
        </w:rPr>
        <w:t xml:space="preserve">Общая характеристика бюджета </w:t>
      </w:r>
      <w:proofErr w:type="spellStart"/>
      <w:r w:rsidRPr="001859E1">
        <w:rPr>
          <w:sz w:val="28"/>
          <w:szCs w:val="28"/>
        </w:rPr>
        <w:t>Коны</w:t>
      </w:r>
      <w:r w:rsidR="009F6B2E">
        <w:rPr>
          <w:sz w:val="28"/>
          <w:szCs w:val="28"/>
        </w:rPr>
        <w:t>шевского</w:t>
      </w:r>
      <w:proofErr w:type="spellEnd"/>
      <w:r w:rsidR="009F6B2E">
        <w:rPr>
          <w:sz w:val="28"/>
          <w:szCs w:val="28"/>
        </w:rPr>
        <w:t xml:space="preserve"> района Курской области.</w:t>
      </w:r>
    </w:p>
    <w:p w:rsidR="006D487E" w:rsidRPr="006D487E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487E" w:rsidRP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 xml:space="preserve">нализ исполнения доходов бюджета </w:t>
      </w:r>
      <w:proofErr w:type="spellStart"/>
      <w:r w:rsidR="006D487E">
        <w:rPr>
          <w:sz w:val="28"/>
          <w:szCs w:val="28"/>
        </w:rPr>
        <w:t>Конышевского</w:t>
      </w:r>
      <w:proofErr w:type="spellEnd"/>
      <w:r w:rsidR="006D487E">
        <w:rPr>
          <w:sz w:val="28"/>
          <w:szCs w:val="28"/>
        </w:rPr>
        <w:t xml:space="preserve"> района Курской области</w:t>
      </w:r>
      <w:r w:rsidR="009F6B2E">
        <w:rPr>
          <w:sz w:val="28"/>
          <w:szCs w:val="28"/>
        </w:rPr>
        <w:t>.</w:t>
      </w:r>
    </w:p>
    <w:p w:rsidR="004D3C04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 xml:space="preserve">нализ исполнения расходной части бюджета </w:t>
      </w:r>
      <w:proofErr w:type="spellStart"/>
      <w:r w:rsidR="006D487E">
        <w:rPr>
          <w:sz w:val="28"/>
          <w:szCs w:val="28"/>
        </w:rPr>
        <w:t>Конышевского</w:t>
      </w:r>
      <w:proofErr w:type="spellEnd"/>
      <w:r w:rsidR="006D487E">
        <w:rPr>
          <w:sz w:val="28"/>
          <w:szCs w:val="28"/>
        </w:rPr>
        <w:t xml:space="preserve"> района Курской области</w:t>
      </w:r>
      <w:r w:rsidR="009F6B2E">
        <w:rPr>
          <w:sz w:val="28"/>
          <w:szCs w:val="28"/>
        </w:rPr>
        <w:t>.</w:t>
      </w:r>
    </w:p>
    <w:p w:rsidR="006D487E" w:rsidRPr="006D487E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>нализ источников финансирован</w:t>
      </w:r>
      <w:r w:rsidR="004D3C04">
        <w:rPr>
          <w:sz w:val="28"/>
          <w:szCs w:val="28"/>
        </w:rPr>
        <w:t>ия дефицита (профицита)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9F6B2E">
        <w:rPr>
          <w:sz w:val="28"/>
          <w:szCs w:val="28"/>
        </w:rPr>
        <w:t>.</w:t>
      </w:r>
    </w:p>
    <w:p w:rsidR="006D487E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 xml:space="preserve">нализ состояния муниципального долга </w:t>
      </w:r>
      <w:r w:rsidR="006D487E">
        <w:rPr>
          <w:sz w:val="28"/>
          <w:szCs w:val="28"/>
        </w:rPr>
        <w:t>бюджета</w:t>
      </w:r>
      <w:r w:rsidR="006D487E" w:rsidRPr="006D487E">
        <w:rPr>
          <w:sz w:val="28"/>
          <w:szCs w:val="28"/>
        </w:rPr>
        <w:t xml:space="preserve"> </w:t>
      </w:r>
      <w:proofErr w:type="spellStart"/>
      <w:r w:rsidR="006D487E" w:rsidRPr="006D487E">
        <w:rPr>
          <w:sz w:val="28"/>
          <w:szCs w:val="28"/>
        </w:rPr>
        <w:t>Коны</w:t>
      </w:r>
      <w:r>
        <w:rPr>
          <w:sz w:val="28"/>
          <w:szCs w:val="28"/>
        </w:rPr>
        <w:t>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60FD4" w:rsidRDefault="00F60FD4" w:rsidP="001859E1">
      <w:pPr>
        <w:ind w:firstLine="567"/>
        <w:jc w:val="both"/>
        <w:rPr>
          <w:b/>
          <w:sz w:val="28"/>
          <w:szCs w:val="28"/>
        </w:rPr>
      </w:pPr>
      <w:r w:rsidRPr="00F60FD4">
        <w:rPr>
          <w:b/>
          <w:sz w:val="28"/>
          <w:szCs w:val="28"/>
        </w:rPr>
        <w:t>Объект проверки:</w:t>
      </w:r>
      <w:r>
        <w:rPr>
          <w:sz w:val="28"/>
          <w:szCs w:val="28"/>
        </w:rPr>
        <w:t xml:space="preserve"> </w:t>
      </w:r>
      <w:r w:rsidR="006D487E">
        <w:rPr>
          <w:sz w:val="28"/>
          <w:szCs w:val="28"/>
        </w:rPr>
        <w:t xml:space="preserve">Управление финансов Администрации </w:t>
      </w:r>
      <w:proofErr w:type="spellStart"/>
      <w:r w:rsidR="006D487E">
        <w:rPr>
          <w:sz w:val="28"/>
          <w:szCs w:val="28"/>
        </w:rPr>
        <w:t>Конышевского</w:t>
      </w:r>
      <w:proofErr w:type="spellEnd"/>
      <w:r w:rsidR="006D487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394FF5" w:rsidRDefault="00394FF5" w:rsidP="004366EB">
      <w:pPr>
        <w:ind w:right="-7" w:firstLine="567"/>
        <w:rPr>
          <w:sz w:val="28"/>
          <w:szCs w:val="28"/>
        </w:rPr>
      </w:pPr>
      <w:r>
        <w:rPr>
          <w:b/>
          <w:sz w:val="28"/>
          <w:szCs w:val="28"/>
        </w:rPr>
        <w:t>Исследуемый период:</w:t>
      </w:r>
      <w:r w:rsidR="00525AB6">
        <w:rPr>
          <w:b/>
          <w:sz w:val="28"/>
          <w:szCs w:val="28"/>
        </w:rPr>
        <w:t xml:space="preserve"> </w:t>
      </w:r>
      <w:r w:rsidR="007B759C" w:rsidRPr="007B759C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8C581A">
        <w:rPr>
          <w:sz w:val="28"/>
          <w:szCs w:val="28"/>
        </w:rPr>
        <w:t>2</w:t>
      </w:r>
      <w:r w:rsidR="00FA52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94FF5" w:rsidRDefault="00394FF5" w:rsidP="004366EB">
      <w:pPr>
        <w:ind w:right="-7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</w:t>
      </w:r>
      <w:r w:rsidR="00F60FD4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74069">
        <w:rPr>
          <w:sz w:val="28"/>
          <w:szCs w:val="28"/>
        </w:rPr>
        <w:t xml:space="preserve">с </w:t>
      </w:r>
      <w:r w:rsidR="006D487E" w:rsidRPr="00A74069">
        <w:rPr>
          <w:sz w:val="28"/>
          <w:szCs w:val="28"/>
        </w:rPr>
        <w:t>2</w:t>
      </w:r>
      <w:r w:rsidR="00FA52E8">
        <w:rPr>
          <w:sz w:val="28"/>
          <w:szCs w:val="28"/>
        </w:rPr>
        <w:t>4</w:t>
      </w:r>
      <w:r w:rsidR="00525AB6" w:rsidRPr="00A74069">
        <w:rPr>
          <w:sz w:val="28"/>
          <w:szCs w:val="28"/>
        </w:rPr>
        <w:t xml:space="preserve"> </w:t>
      </w:r>
      <w:r w:rsidR="007B759C" w:rsidRPr="00A74069">
        <w:rPr>
          <w:sz w:val="28"/>
          <w:szCs w:val="28"/>
        </w:rPr>
        <w:t>апреля</w:t>
      </w:r>
      <w:r w:rsidR="006D487E" w:rsidRPr="00A74069">
        <w:rPr>
          <w:sz w:val="28"/>
          <w:szCs w:val="28"/>
        </w:rPr>
        <w:t xml:space="preserve"> </w:t>
      </w:r>
      <w:r w:rsidRPr="00A74069">
        <w:rPr>
          <w:sz w:val="28"/>
          <w:szCs w:val="28"/>
        </w:rPr>
        <w:t xml:space="preserve">по </w:t>
      </w:r>
      <w:r w:rsidR="00C108DC" w:rsidRPr="00A74069">
        <w:rPr>
          <w:sz w:val="28"/>
          <w:szCs w:val="28"/>
        </w:rPr>
        <w:t>2</w:t>
      </w:r>
      <w:r w:rsidR="00FA52E8">
        <w:rPr>
          <w:sz w:val="28"/>
          <w:szCs w:val="28"/>
        </w:rPr>
        <w:t>9</w:t>
      </w:r>
      <w:r w:rsidRPr="00A74069">
        <w:rPr>
          <w:sz w:val="28"/>
          <w:szCs w:val="28"/>
        </w:rPr>
        <w:t xml:space="preserve"> </w:t>
      </w:r>
      <w:r w:rsidR="008C0FE2" w:rsidRPr="00A74069">
        <w:rPr>
          <w:sz w:val="28"/>
          <w:szCs w:val="28"/>
        </w:rPr>
        <w:t>апреля</w:t>
      </w:r>
      <w:r w:rsidR="006D487E" w:rsidRPr="00A74069">
        <w:rPr>
          <w:sz w:val="28"/>
          <w:szCs w:val="28"/>
        </w:rPr>
        <w:t xml:space="preserve"> </w:t>
      </w:r>
      <w:r w:rsidRPr="00A74069">
        <w:rPr>
          <w:sz w:val="28"/>
          <w:szCs w:val="28"/>
        </w:rPr>
        <w:t>20</w:t>
      </w:r>
      <w:r w:rsidR="008C581A" w:rsidRPr="00A74069">
        <w:rPr>
          <w:sz w:val="28"/>
          <w:szCs w:val="28"/>
        </w:rPr>
        <w:t>2</w:t>
      </w:r>
      <w:r w:rsidR="00FA52E8">
        <w:rPr>
          <w:sz w:val="28"/>
          <w:szCs w:val="28"/>
        </w:rPr>
        <w:t>4</w:t>
      </w:r>
      <w:r w:rsidRPr="00A74069">
        <w:rPr>
          <w:sz w:val="28"/>
          <w:szCs w:val="28"/>
        </w:rPr>
        <w:t xml:space="preserve"> года.</w:t>
      </w:r>
    </w:p>
    <w:p w:rsidR="003B3DED" w:rsidRDefault="003B3DED" w:rsidP="004366EB">
      <w:pPr>
        <w:ind w:right="-7" w:firstLine="567"/>
        <w:rPr>
          <w:sz w:val="28"/>
          <w:szCs w:val="28"/>
        </w:rPr>
      </w:pPr>
    </w:p>
    <w:p w:rsidR="004D3C04" w:rsidRDefault="004D3C04" w:rsidP="004366EB">
      <w:pPr>
        <w:ind w:right="-7" w:firstLine="567"/>
        <w:rPr>
          <w:sz w:val="28"/>
          <w:szCs w:val="28"/>
        </w:rPr>
      </w:pPr>
    </w:p>
    <w:p w:rsidR="006D487E" w:rsidRDefault="00394FF5" w:rsidP="008C581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мероприятия:</w:t>
      </w:r>
      <w:r w:rsidR="00525AB6">
        <w:rPr>
          <w:b/>
          <w:sz w:val="28"/>
          <w:szCs w:val="28"/>
        </w:rPr>
        <w:t xml:space="preserve"> </w:t>
      </w:r>
    </w:p>
    <w:p w:rsidR="006D487E" w:rsidRDefault="006D487E" w:rsidP="006D487E">
      <w:pPr>
        <w:pStyle w:val="af9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outlineLvl w:val="1"/>
        <w:rPr>
          <w:b/>
          <w:sz w:val="28"/>
          <w:szCs w:val="28"/>
        </w:rPr>
      </w:pPr>
      <w:r w:rsidRPr="006D487E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Pr="006D487E">
        <w:rPr>
          <w:b/>
          <w:sz w:val="28"/>
          <w:szCs w:val="28"/>
        </w:rPr>
        <w:t>Коны</w:t>
      </w:r>
      <w:r w:rsidR="0073286D">
        <w:rPr>
          <w:b/>
          <w:sz w:val="28"/>
          <w:szCs w:val="28"/>
        </w:rPr>
        <w:t>шевского</w:t>
      </w:r>
      <w:proofErr w:type="spellEnd"/>
      <w:r w:rsidR="0073286D">
        <w:rPr>
          <w:b/>
          <w:sz w:val="28"/>
          <w:szCs w:val="28"/>
        </w:rPr>
        <w:t xml:space="preserve"> района Курской области</w:t>
      </w:r>
    </w:p>
    <w:p w:rsidR="008C581A" w:rsidRDefault="008C581A" w:rsidP="006D487E">
      <w:pPr>
        <w:pStyle w:val="af9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6D487E">
        <w:rPr>
          <w:sz w:val="28"/>
          <w:szCs w:val="28"/>
        </w:rPr>
        <w:t xml:space="preserve">Решением Представительного Собрания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="008A394B">
        <w:rPr>
          <w:sz w:val="28"/>
          <w:szCs w:val="28"/>
        </w:rPr>
        <w:t xml:space="preserve"> района Курской области  от 2</w:t>
      </w:r>
      <w:r w:rsidR="00AA3268">
        <w:rPr>
          <w:sz w:val="28"/>
          <w:szCs w:val="28"/>
        </w:rPr>
        <w:t>1</w:t>
      </w:r>
      <w:r w:rsidR="008A394B">
        <w:rPr>
          <w:sz w:val="28"/>
          <w:szCs w:val="28"/>
        </w:rPr>
        <w:t>.12.</w:t>
      </w:r>
      <w:r w:rsidRPr="006D487E">
        <w:rPr>
          <w:sz w:val="28"/>
          <w:szCs w:val="28"/>
        </w:rPr>
        <w:t>20</w:t>
      </w:r>
      <w:r w:rsidR="007B759C">
        <w:rPr>
          <w:sz w:val="28"/>
          <w:szCs w:val="28"/>
        </w:rPr>
        <w:t>2</w:t>
      </w:r>
      <w:r w:rsidR="00AA3268">
        <w:rPr>
          <w:sz w:val="28"/>
          <w:szCs w:val="28"/>
        </w:rPr>
        <w:t>3</w:t>
      </w:r>
      <w:r w:rsidRPr="006D487E">
        <w:rPr>
          <w:sz w:val="28"/>
          <w:szCs w:val="28"/>
        </w:rPr>
        <w:t xml:space="preserve"> года №</w:t>
      </w:r>
      <w:r w:rsidR="00AA3268">
        <w:rPr>
          <w:sz w:val="28"/>
          <w:szCs w:val="28"/>
        </w:rPr>
        <w:t>365</w:t>
      </w:r>
      <w:r w:rsidRPr="006D487E">
        <w:rPr>
          <w:sz w:val="28"/>
          <w:szCs w:val="28"/>
        </w:rPr>
        <w:t xml:space="preserve"> «О бюджете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Pr="006D487E">
        <w:rPr>
          <w:sz w:val="28"/>
          <w:szCs w:val="28"/>
        </w:rPr>
        <w:t xml:space="preserve"> района Курской области на 202</w:t>
      </w:r>
      <w:r w:rsidR="00AA3268">
        <w:rPr>
          <w:sz w:val="28"/>
          <w:szCs w:val="28"/>
        </w:rPr>
        <w:t>4</w:t>
      </w:r>
      <w:r w:rsidRPr="006D487E">
        <w:rPr>
          <w:sz w:val="28"/>
          <w:szCs w:val="28"/>
        </w:rPr>
        <w:t xml:space="preserve"> год и на плановый период 202</w:t>
      </w:r>
      <w:r w:rsidR="00AA3268">
        <w:rPr>
          <w:sz w:val="28"/>
          <w:szCs w:val="28"/>
        </w:rPr>
        <w:t>5</w:t>
      </w:r>
      <w:r w:rsidRPr="006D487E">
        <w:rPr>
          <w:sz w:val="28"/>
          <w:szCs w:val="28"/>
        </w:rPr>
        <w:t xml:space="preserve"> и 202</w:t>
      </w:r>
      <w:r w:rsidR="00AA3268">
        <w:rPr>
          <w:sz w:val="28"/>
          <w:szCs w:val="28"/>
        </w:rPr>
        <w:t>6</w:t>
      </w:r>
      <w:r w:rsidRPr="006D487E">
        <w:rPr>
          <w:sz w:val="28"/>
          <w:szCs w:val="28"/>
        </w:rPr>
        <w:t xml:space="preserve"> годов» </w:t>
      </w:r>
      <w:r w:rsidR="007B759C">
        <w:rPr>
          <w:sz w:val="28"/>
          <w:szCs w:val="28"/>
        </w:rPr>
        <w:t xml:space="preserve">(в редакции решения от </w:t>
      </w:r>
      <w:r w:rsidR="00AA3268">
        <w:rPr>
          <w:sz w:val="28"/>
          <w:szCs w:val="28"/>
        </w:rPr>
        <w:t>26</w:t>
      </w:r>
      <w:r w:rsidR="00164AE5">
        <w:rPr>
          <w:sz w:val="28"/>
          <w:szCs w:val="28"/>
        </w:rPr>
        <w:t>.0</w:t>
      </w:r>
      <w:r w:rsidR="009317D0">
        <w:rPr>
          <w:sz w:val="28"/>
          <w:szCs w:val="28"/>
        </w:rPr>
        <w:t>2</w:t>
      </w:r>
      <w:r w:rsidR="00164AE5">
        <w:rPr>
          <w:sz w:val="28"/>
          <w:szCs w:val="28"/>
        </w:rPr>
        <w:t>.202</w:t>
      </w:r>
      <w:r w:rsidR="00AA3268">
        <w:rPr>
          <w:sz w:val="28"/>
          <w:szCs w:val="28"/>
        </w:rPr>
        <w:t>4</w:t>
      </w:r>
      <w:r w:rsidR="00164AE5">
        <w:rPr>
          <w:sz w:val="28"/>
          <w:szCs w:val="28"/>
        </w:rPr>
        <w:t xml:space="preserve"> №</w:t>
      </w:r>
      <w:r w:rsidR="00AA3268">
        <w:rPr>
          <w:sz w:val="28"/>
          <w:szCs w:val="28"/>
        </w:rPr>
        <w:t>382</w:t>
      </w:r>
      <w:r w:rsidR="00164AE5">
        <w:rPr>
          <w:sz w:val="28"/>
          <w:szCs w:val="28"/>
        </w:rPr>
        <w:t xml:space="preserve">) </w:t>
      </w:r>
      <w:r w:rsidRPr="006D487E">
        <w:rPr>
          <w:sz w:val="28"/>
          <w:szCs w:val="28"/>
        </w:rPr>
        <w:t xml:space="preserve">предусмотрен общий прогнозируемый объем доходов бюджета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Pr="006D487E">
        <w:rPr>
          <w:sz w:val="28"/>
          <w:szCs w:val="28"/>
        </w:rPr>
        <w:t xml:space="preserve"> района </w:t>
      </w:r>
      <w:r w:rsidR="00282991">
        <w:rPr>
          <w:sz w:val="28"/>
          <w:szCs w:val="28"/>
        </w:rPr>
        <w:t xml:space="preserve">Курской области </w:t>
      </w:r>
      <w:r w:rsidR="001859E1">
        <w:rPr>
          <w:sz w:val="28"/>
          <w:szCs w:val="28"/>
        </w:rPr>
        <w:t xml:space="preserve">в сумме </w:t>
      </w:r>
      <w:r w:rsidR="00AA3268">
        <w:rPr>
          <w:sz w:val="28"/>
          <w:szCs w:val="28"/>
        </w:rPr>
        <w:t>355074,2</w:t>
      </w:r>
      <w:r w:rsidR="00D53746" w:rsidRPr="00D53746">
        <w:rPr>
          <w:sz w:val="28"/>
          <w:szCs w:val="28"/>
        </w:rPr>
        <w:t xml:space="preserve"> </w:t>
      </w:r>
      <w:r w:rsidRPr="006D487E">
        <w:rPr>
          <w:sz w:val="28"/>
          <w:szCs w:val="28"/>
        </w:rPr>
        <w:t xml:space="preserve">тыс. </w:t>
      </w:r>
      <w:r w:rsidRPr="006D487E">
        <w:rPr>
          <w:sz w:val="28"/>
          <w:szCs w:val="28"/>
        </w:rPr>
        <w:lastRenderedPageBreak/>
        <w:t xml:space="preserve">рублей, общий объемом расходов бюджета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Pr="006D487E">
        <w:rPr>
          <w:sz w:val="28"/>
          <w:szCs w:val="28"/>
        </w:rPr>
        <w:t xml:space="preserve"> района </w:t>
      </w:r>
      <w:r w:rsidR="00282991">
        <w:rPr>
          <w:sz w:val="28"/>
          <w:szCs w:val="28"/>
        </w:rPr>
        <w:t xml:space="preserve">Курской области </w:t>
      </w:r>
      <w:r w:rsidRPr="006D487E">
        <w:rPr>
          <w:sz w:val="28"/>
          <w:szCs w:val="28"/>
        </w:rPr>
        <w:t xml:space="preserve">в сумме </w:t>
      </w:r>
      <w:r w:rsidR="00AA3268">
        <w:rPr>
          <w:sz w:val="28"/>
          <w:szCs w:val="28"/>
        </w:rPr>
        <w:t>463714,2</w:t>
      </w:r>
      <w:proofErr w:type="gramEnd"/>
      <w:r w:rsidR="00D53746" w:rsidRPr="00D53746">
        <w:rPr>
          <w:sz w:val="28"/>
          <w:szCs w:val="28"/>
        </w:rPr>
        <w:t xml:space="preserve"> </w:t>
      </w:r>
      <w:r w:rsidRPr="006D487E">
        <w:rPr>
          <w:sz w:val="28"/>
          <w:szCs w:val="28"/>
        </w:rPr>
        <w:t xml:space="preserve">тыс. рублей и прогнозируемый дефицит бюджета в сумме </w:t>
      </w:r>
      <w:r w:rsidR="00AA3268">
        <w:rPr>
          <w:sz w:val="28"/>
          <w:szCs w:val="28"/>
        </w:rPr>
        <w:t>108640</w:t>
      </w:r>
      <w:r w:rsidR="00D53746">
        <w:rPr>
          <w:sz w:val="28"/>
          <w:szCs w:val="28"/>
        </w:rPr>
        <w:t xml:space="preserve"> </w:t>
      </w:r>
      <w:r w:rsidRPr="006D487E">
        <w:rPr>
          <w:sz w:val="28"/>
          <w:szCs w:val="28"/>
        </w:rPr>
        <w:t>тыс. рублей.</w:t>
      </w:r>
      <w:r w:rsidR="00D65B62">
        <w:rPr>
          <w:sz w:val="28"/>
          <w:szCs w:val="28"/>
        </w:rPr>
        <w:t xml:space="preserve"> </w:t>
      </w:r>
    </w:p>
    <w:p w:rsidR="00AA3268" w:rsidRDefault="00AA3268" w:rsidP="00AA3268">
      <w:pPr>
        <w:pStyle w:val="af9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предоставленном отчете об исполнении </w:t>
      </w:r>
      <w:r w:rsidRPr="003B3DED">
        <w:rPr>
          <w:sz w:val="28"/>
          <w:szCs w:val="28"/>
        </w:rPr>
        <w:t xml:space="preserve">консолидированного бюджета по состоянию на 01.04.2024г. отклонение от доведенных плановых назначений Министерства финансов и бюджетного контроля Курской области в  сумме </w:t>
      </w:r>
    </w:p>
    <w:p w:rsidR="00AA3268" w:rsidRPr="006D487E" w:rsidRDefault="00AA3268" w:rsidP="00AA3268">
      <w:pPr>
        <w:pStyle w:val="af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proofErr w:type="gramStart"/>
      <w:r w:rsidRPr="003B3DED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3B3DED">
        <w:rPr>
          <w:sz w:val="28"/>
          <w:szCs w:val="28"/>
        </w:rPr>
        <w:t>916</w:t>
      </w:r>
      <w:r>
        <w:rPr>
          <w:sz w:val="28"/>
          <w:szCs w:val="28"/>
        </w:rPr>
        <w:t>,2 тыс.</w:t>
      </w:r>
      <w:r w:rsidRPr="003B3DED">
        <w:rPr>
          <w:sz w:val="28"/>
          <w:szCs w:val="28"/>
        </w:rPr>
        <w:t xml:space="preserve"> рублей  образовалось в связи с тем, что уведомления по расчетам между бюджетами министерства культуры  Курской области  на сумму 916</w:t>
      </w:r>
      <w:r>
        <w:rPr>
          <w:sz w:val="28"/>
          <w:szCs w:val="28"/>
        </w:rPr>
        <w:t>,2 тыс.</w:t>
      </w:r>
      <w:r w:rsidRPr="003B3DED">
        <w:rPr>
          <w:sz w:val="28"/>
          <w:szCs w:val="28"/>
        </w:rPr>
        <w:t xml:space="preserve"> руб. от 27.02.2024г.,</w:t>
      </w:r>
      <w:r>
        <w:rPr>
          <w:sz w:val="28"/>
          <w:szCs w:val="28"/>
        </w:rPr>
        <w:t xml:space="preserve"> </w:t>
      </w:r>
      <w:r w:rsidRPr="003B3DED">
        <w:rPr>
          <w:sz w:val="28"/>
          <w:szCs w:val="28"/>
        </w:rPr>
        <w:t xml:space="preserve">уведомления по расчетам между бюджетами министерства культуры  Курской области  на сумму </w:t>
      </w:r>
      <w:r>
        <w:rPr>
          <w:sz w:val="28"/>
          <w:szCs w:val="28"/>
        </w:rPr>
        <w:t>15000,0 тыс.</w:t>
      </w:r>
      <w:r w:rsidRPr="003B3DED">
        <w:rPr>
          <w:sz w:val="28"/>
          <w:szCs w:val="28"/>
        </w:rPr>
        <w:t xml:space="preserve"> руб. от 01.03.2024г.</w:t>
      </w:r>
      <w:r>
        <w:rPr>
          <w:sz w:val="28"/>
          <w:szCs w:val="28"/>
        </w:rPr>
        <w:t xml:space="preserve"> </w:t>
      </w:r>
      <w:r w:rsidRPr="003B3DED">
        <w:rPr>
          <w:sz w:val="28"/>
          <w:szCs w:val="28"/>
        </w:rPr>
        <w:t>При очередном уточнении бюджета данная сумма будет включена.</w:t>
      </w:r>
      <w:r w:rsidRPr="003B3DED">
        <w:rPr>
          <w:rFonts w:ascii="Arial" w:hAnsi="Arial" w:cs="Arial"/>
          <w:sz w:val="22"/>
          <w:szCs w:val="22"/>
        </w:rPr>
        <w:t xml:space="preserve">                                             </w:t>
      </w:r>
      <w:proofErr w:type="gramEnd"/>
    </w:p>
    <w:p w:rsidR="00D65B62" w:rsidRDefault="008C581A" w:rsidP="008C581A">
      <w:pPr>
        <w:ind w:firstLine="567"/>
        <w:jc w:val="both"/>
        <w:rPr>
          <w:sz w:val="28"/>
          <w:szCs w:val="28"/>
        </w:rPr>
      </w:pPr>
      <w:r w:rsidRPr="00215A32">
        <w:rPr>
          <w:sz w:val="28"/>
          <w:szCs w:val="28"/>
        </w:rPr>
        <w:t xml:space="preserve">Фактически бюджет </w:t>
      </w:r>
      <w:proofErr w:type="spellStart"/>
      <w:r w:rsidRPr="00215A32">
        <w:rPr>
          <w:sz w:val="28"/>
          <w:szCs w:val="28"/>
        </w:rPr>
        <w:t>Конышевского</w:t>
      </w:r>
      <w:proofErr w:type="spellEnd"/>
      <w:r w:rsidRPr="00215A32">
        <w:rPr>
          <w:sz w:val="28"/>
          <w:szCs w:val="28"/>
        </w:rPr>
        <w:t xml:space="preserve"> района Курс</w:t>
      </w:r>
      <w:r w:rsidR="00C2730F">
        <w:rPr>
          <w:sz w:val="28"/>
          <w:szCs w:val="28"/>
        </w:rPr>
        <w:t>кой области по состоянию на 01.04</w:t>
      </w:r>
      <w:r w:rsidRPr="00215A32">
        <w:rPr>
          <w:sz w:val="28"/>
          <w:szCs w:val="28"/>
        </w:rPr>
        <w:t>.202</w:t>
      </w:r>
      <w:r w:rsidR="00BF2FF1">
        <w:rPr>
          <w:sz w:val="28"/>
          <w:szCs w:val="28"/>
        </w:rPr>
        <w:t>4</w:t>
      </w:r>
      <w:r w:rsidRPr="00215A32">
        <w:rPr>
          <w:sz w:val="28"/>
          <w:szCs w:val="28"/>
        </w:rPr>
        <w:t xml:space="preserve"> года исполнен по доходам в сумме </w:t>
      </w:r>
      <w:r w:rsidR="00BF2FF1">
        <w:rPr>
          <w:sz w:val="28"/>
          <w:szCs w:val="28"/>
        </w:rPr>
        <w:t>78985,7</w:t>
      </w:r>
      <w:r w:rsidRPr="00215A32">
        <w:rPr>
          <w:sz w:val="28"/>
          <w:szCs w:val="28"/>
        </w:rPr>
        <w:t xml:space="preserve"> тыс. рублей или на </w:t>
      </w:r>
      <w:r w:rsidR="00BF2FF1">
        <w:rPr>
          <w:sz w:val="28"/>
          <w:szCs w:val="28"/>
        </w:rPr>
        <w:t>22,2</w:t>
      </w:r>
      <w:r w:rsidRPr="00215A32">
        <w:rPr>
          <w:sz w:val="28"/>
          <w:szCs w:val="28"/>
        </w:rPr>
        <w:t>% от прогнозируемого поступления доходов в 202</w:t>
      </w:r>
      <w:r w:rsidR="00BF2FF1">
        <w:rPr>
          <w:sz w:val="28"/>
          <w:szCs w:val="28"/>
        </w:rPr>
        <w:t>4</w:t>
      </w:r>
      <w:r w:rsidRPr="00215A32">
        <w:rPr>
          <w:sz w:val="28"/>
          <w:szCs w:val="28"/>
        </w:rPr>
        <w:t xml:space="preserve"> году, по расходам в сумме </w:t>
      </w:r>
      <w:r w:rsidR="00DC1D16">
        <w:rPr>
          <w:sz w:val="28"/>
          <w:szCs w:val="28"/>
        </w:rPr>
        <w:t xml:space="preserve">       </w:t>
      </w:r>
      <w:r w:rsidR="00BF2FF1">
        <w:rPr>
          <w:sz w:val="28"/>
          <w:szCs w:val="28"/>
        </w:rPr>
        <w:t>68954,0</w:t>
      </w:r>
      <w:r w:rsidRPr="00215A32">
        <w:rPr>
          <w:sz w:val="28"/>
          <w:szCs w:val="28"/>
        </w:rPr>
        <w:t xml:space="preserve"> тыс. рублей или </w:t>
      </w:r>
      <w:r w:rsidR="00BF2FF1">
        <w:rPr>
          <w:sz w:val="28"/>
          <w:szCs w:val="28"/>
        </w:rPr>
        <w:t>14,9</w:t>
      </w:r>
      <w:r w:rsidRPr="00215A32">
        <w:rPr>
          <w:sz w:val="28"/>
          <w:szCs w:val="28"/>
        </w:rPr>
        <w:t xml:space="preserve">% </w:t>
      </w:r>
      <w:r w:rsidR="00BF2FF1">
        <w:rPr>
          <w:sz w:val="28"/>
          <w:szCs w:val="28"/>
        </w:rPr>
        <w:t>.</w:t>
      </w:r>
    </w:p>
    <w:p w:rsidR="008C581A" w:rsidRDefault="00D65B62" w:rsidP="008C5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C2730F">
        <w:rPr>
          <w:sz w:val="28"/>
          <w:szCs w:val="28"/>
        </w:rPr>
        <w:t>1 квартала</w:t>
      </w:r>
      <w:r>
        <w:rPr>
          <w:sz w:val="28"/>
          <w:szCs w:val="28"/>
        </w:rPr>
        <w:t xml:space="preserve"> 202</w:t>
      </w:r>
      <w:r w:rsidR="00BF2F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3067E">
        <w:rPr>
          <w:sz w:val="28"/>
          <w:szCs w:val="28"/>
        </w:rPr>
        <w:t xml:space="preserve"> сложился п</w:t>
      </w:r>
      <w:r w:rsidR="008C581A" w:rsidRPr="00215A32">
        <w:rPr>
          <w:sz w:val="28"/>
          <w:szCs w:val="28"/>
        </w:rPr>
        <w:t xml:space="preserve">рофицит бюджета </w:t>
      </w:r>
      <w:r w:rsidR="00C2730F">
        <w:rPr>
          <w:sz w:val="28"/>
          <w:szCs w:val="28"/>
        </w:rPr>
        <w:t xml:space="preserve">в сумме </w:t>
      </w:r>
      <w:r w:rsidR="00BF2FF1">
        <w:rPr>
          <w:sz w:val="28"/>
          <w:szCs w:val="28"/>
        </w:rPr>
        <w:t>10031,7</w:t>
      </w:r>
      <w:r w:rsidR="008C581A" w:rsidRPr="00215A32">
        <w:rPr>
          <w:sz w:val="28"/>
          <w:szCs w:val="28"/>
        </w:rPr>
        <w:t xml:space="preserve"> тыс. рублей.</w:t>
      </w:r>
    </w:p>
    <w:p w:rsidR="008702D3" w:rsidRDefault="008702D3" w:rsidP="008C581A">
      <w:pPr>
        <w:ind w:firstLine="567"/>
        <w:jc w:val="both"/>
        <w:rPr>
          <w:sz w:val="28"/>
          <w:szCs w:val="28"/>
        </w:rPr>
      </w:pPr>
    </w:p>
    <w:p w:rsidR="008702D3" w:rsidRDefault="008702D3" w:rsidP="008A394B">
      <w:pPr>
        <w:pStyle w:val="af9"/>
        <w:numPr>
          <w:ilvl w:val="0"/>
          <w:numId w:val="11"/>
        </w:numPr>
        <w:tabs>
          <w:tab w:val="left" w:pos="0"/>
        </w:tabs>
        <w:ind w:left="0" w:firstLine="540"/>
        <w:jc w:val="both"/>
        <w:rPr>
          <w:b/>
          <w:sz w:val="28"/>
          <w:szCs w:val="28"/>
        </w:rPr>
      </w:pPr>
      <w:r w:rsidRPr="008702D3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Pr="008702D3">
        <w:rPr>
          <w:b/>
          <w:sz w:val="28"/>
          <w:szCs w:val="28"/>
        </w:rPr>
        <w:t>Коны</w:t>
      </w:r>
      <w:r w:rsidR="00BC16BC">
        <w:rPr>
          <w:b/>
          <w:sz w:val="28"/>
          <w:szCs w:val="28"/>
        </w:rPr>
        <w:t>шевского</w:t>
      </w:r>
      <w:proofErr w:type="spellEnd"/>
      <w:r w:rsidR="00BC16BC">
        <w:rPr>
          <w:b/>
          <w:sz w:val="28"/>
          <w:szCs w:val="28"/>
        </w:rPr>
        <w:t xml:space="preserve"> района Курской области</w:t>
      </w:r>
    </w:p>
    <w:p w:rsidR="008702D3" w:rsidRDefault="00260A67" w:rsidP="00260A67">
      <w:pPr>
        <w:pStyle w:val="af9"/>
        <w:numPr>
          <w:ilvl w:val="1"/>
          <w:numId w:val="15"/>
        </w:numPr>
        <w:tabs>
          <w:tab w:val="left" w:pos="0"/>
        </w:tabs>
        <w:ind w:left="993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6BC">
        <w:rPr>
          <w:b/>
          <w:sz w:val="28"/>
          <w:szCs w:val="28"/>
        </w:rPr>
        <w:t>Налоговые и неналоговые доходы</w:t>
      </w:r>
    </w:p>
    <w:p w:rsidR="008C581A" w:rsidRPr="008C69E5" w:rsidRDefault="002D6C26" w:rsidP="008C581A">
      <w:pPr>
        <w:ind w:firstLine="567"/>
        <w:jc w:val="both"/>
        <w:rPr>
          <w:sz w:val="28"/>
          <w:szCs w:val="28"/>
        </w:rPr>
      </w:pPr>
      <w:r w:rsidRPr="008C69E5">
        <w:rPr>
          <w:sz w:val="28"/>
          <w:szCs w:val="28"/>
        </w:rPr>
        <w:t>З</w:t>
      </w:r>
      <w:r w:rsidR="008C581A" w:rsidRPr="008C69E5">
        <w:rPr>
          <w:sz w:val="28"/>
          <w:szCs w:val="28"/>
        </w:rPr>
        <w:t xml:space="preserve">а </w:t>
      </w:r>
      <w:r w:rsidR="000A14E4">
        <w:rPr>
          <w:sz w:val="28"/>
          <w:szCs w:val="28"/>
        </w:rPr>
        <w:t>1 квартал</w:t>
      </w:r>
      <w:r w:rsidR="008C581A" w:rsidRPr="008C69E5">
        <w:rPr>
          <w:sz w:val="28"/>
          <w:szCs w:val="28"/>
        </w:rPr>
        <w:t xml:space="preserve"> 202</w:t>
      </w:r>
      <w:r w:rsidR="000B6257">
        <w:rPr>
          <w:sz w:val="28"/>
          <w:szCs w:val="28"/>
        </w:rPr>
        <w:t>4</w:t>
      </w:r>
      <w:r w:rsidR="008C581A" w:rsidRPr="008C69E5">
        <w:rPr>
          <w:sz w:val="28"/>
          <w:szCs w:val="28"/>
        </w:rPr>
        <w:t xml:space="preserve"> года в бюджет  </w:t>
      </w:r>
      <w:proofErr w:type="spellStart"/>
      <w:r w:rsidR="008C581A" w:rsidRPr="008C69E5">
        <w:rPr>
          <w:sz w:val="28"/>
          <w:szCs w:val="28"/>
        </w:rPr>
        <w:t>Конышевского</w:t>
      </w:r>
      <w:proofErr w:type="spellEnd"/>
      <w:r w:rsidR="008C581A" w:rsidRPr="008C69E5">
        <w:rPr>
          <w:sz w:val="28"/>
          <w:szCs w:val="28"/>
        </w:rPr>
        <w:t xml:space="preserve"> района Курской области поступило доходов в общей сумме </w:t>
      </w:r>
      <w:r w:rsidR="000B6257">
        <w:rPr>
          <w:sz w:val="28"/>
          <w:szCs w:val="28"/>
        </w:rPr>
        <w:t>78985,7</w:t>
      </w:r>
      <w:r w:rsidRPr="008C69E5">
        <w:rPr>
          <w:sz w:val="28"/>
          <w:szCs w:val="28"/>
        </w:rPr>
        <w:t xml:space="preserve"> тыс. рублей с увеличением по сравнению с аналогичным периодом прошлого года на </w:t>
      </w:r>
      <w:r w:rsidR="000B6257">
        <w:rPr>
          <w:sz w:val="28"/>
          <w:szCs w:val="28"/>
        </w:rPr>
        <w:t>2393,1</w:t>
      </w:r>
      <w:r w:rsidR="00153996" w:rsidRPr="00985937">
        <w:rPr>
          <w:sz w:val="28"/>
          <w:szCs w:val="28"/>
        </w:rPr>
        <w:t xml:space="preserve"> тыс.</w:t>
      </w:r>
      <w:r w:rsidR="00022410" w:rsidRPr="00985937">
        <w:rPr>
          <w:sz w:val="28"/>
          <w:szCs w:val="28"/>
        </w:rPr>
        <w:t xml:space="preserve"> </w:t>
      </w:r>
      <w:r w:rsidR="00153996" w:rsidRPr="00985937">
        <w:rPr>
          <w:sz w:val="28"/>
          <w:szCs w:val="28"/>
        </w:rPr>
        <w:t>рублей.</w:t>
      </w:r>
    </w:p>
    <w:p w:rsidR="008C581A" w:rsidRDefault="008C581A" w:rsidP="008C581A">
      <w:pPr>
        <w:ind w:firstLine="567"/>
        <w:jc w:val="both"/>
        <w:rPr>
          <w:sz w:val="28"/>
          <w:szCs w:val="28"/>
        </w:rPr>
      </w:pPr>
      <w:r w:rsidRPr="00215A32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215A32">
        <w:rPr>
          <w:sz w:val="28"/>
          <w:szCs w:val="28"/>
        </w:rPr>
        <w:t>Конышевского</w:t>
      </w:r>
      <w:proofErr w:type="spellEnd"/>
      <w:r w:rsidRPr="00215A32">
        <w:rPr>
          <w:sz w:val="28"/>
          <w:szCs w:val="28"/>
        </w:rPr>
        <w:t xml:space="preserve"> района Курской области  исполнены в </w:t>
      </w:r>
      <w:r w:rsidR="00A12537">
        <w:rPr>
          <w:sz w:val="28"/>
          <w:szCs w:val="28"/>
        </w:rPr>
        <w:t>сумме</w:t>
      </w:r>
      <w:r w:rsidRPr="00215A32">
        <w:rPr>
          <w:sz w:val="28"/>
          <w:szCs w:val="28"/>
        </w:rPr>
        <w:t xml:space="preserve"> </w:t>
      </w:r>
      <w:r w:rsidR="000B6257">
        <w:rPr>
          <w:sz w:val="28"/>
          <w:szCs w:val="28"/>
        </w:rPr>
        <w:t>35490,5</w:t>
      </w:r>
      <w:r w:rsidRPr="00215A32">
        <w:rPr>
          <w:sz w:val="28"/>
          <w:szCs w:val="28"/>
        </w:rPr>
        <w:t xml:space="preserve"> тыс. рублей или на </w:t>
      </w:r>
      <w:r w:rsidR="000B6257">
        <w:rPr>
          <w:sz w:val="28"/>
          <w:szCs w:val="28"/>
        </w:rPr>
        <w:t>25,1</w:t>
      </w:r>
      <w:r w:rsidRPr="00215A32">
        <w:rPr>
          <w:sz w:val="28"/>
          <w:szCs w:val="28"/>
        </w:rPr>
        <w:t xml:space="preserve">% к общему объему прогнозируемых </w:t>
      </w:r>
      <w:r w:rsidR="00370A4D">
        <w:rPr>
          <w:sz w:val="28"/>
          <w:szCs w:val="28"/>
        </w:rPr>
        <w:t xml:space="preserve">налоговых и </w:t>
      </w:r>
      <w:r w:rsidRPr="00215A32">
        <w:rPr>
          <w:sz w:val="28"/>
          <w:szCs w:val="28"/>
        </w:rPr>
        <w:t>неналогов</w:t>
      </w:r>
      <w:r>
        <w:rPr>
          <w:sz w:val="28"/>
          <w:szCs w:val="28"/>
        </w:rPr>
        <w:t>ых</w:t>
      </w:r>
      <w:r w:rsidRPr="00215A32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215A32">
        <w:rPr>
          <w:sz w:val="28"/>
          <w:szCs w:val="28"/>
        </w:rPr>
        <w:t>.</w:t>
      </w:r>
      <w:r w:rsidR="00A12537">
        <w:rPr>
          <w:sz w:val="28"/>
          <w:szCs w:val="28"/>
        </w:rPr>
        <w:t xml:space="preserve"> Фактические поступления налоговых и неналоговых доходов бюджета</w:t>
      </w:r>
      <w:r w:rsidR="005A3DA1">
        <w:rPr>
          <w:sz w:val="28"/>
          <w:szCs w:val="28"/>
        </w:rPr>
        <w:t xml:space="preserve"> </w:t>
      </w:r>
      <w:proofErr w:type="spellStart"/>
      <w:r w:rsidR="005A3DA1">
        <w:rPr>
          <w:sz w:val="28"/>
          <w:szCs w:val="28"/>
        </w:rPr>
        <w:t>Конышевского</w:t>
      </w:r>
      <w:proofErr w:type="spellEnd"/>
      <w:r w:rsidR="005A3DA1">
        <w:rPr>
          <w:sz w:val="28"/>
          <w:szCs w:val="28"/>
        </w:rPr>
        <w:t xml:space="preserve"> района Курской области</w:t>
      </w:r>
      <w:r w:rsidR="00A12537">
        <w:rPr>
          <w:sz w:val="28"/>
          <w:szCs w:val="28"/>
        </w:rPr>
        <w:t xml:space="preserve"> </w:t>
      </w:r>
      <w:r w:rsidR="00370A4D">
        <w:rPr>
          <w:sz w:val="28"/>
          <w:szCs w:val="28"/>
        </w:rPr>
        <w:t xml:space="preserve">за </w:t>
      </w:r>
      <w:r w:rsidR="003C60CD">
        <w:rPr>
          <w:sz w:val="28"/>
          <w:szCs w:val="28"/>
        </w:rPr>
        <w:t>1</w:t>
      </w:r>
      <w:r w:rsidR="00370A4D">
        <w:rPr>
          <w:sz w:val="28"/>
          <w:szCs w:val="28"/>
        </w:rPr>
        <w:t xml:space="preserve"> </w:t>
      </w:r>
      <w:r w:rsidR="003C60CD">
        <w:rPr>
          <w:sz w:val="28"/>
          <w:szCs w:val="28"/>
        </w:rPr>
        <w:t>квартал</w:t>
      </w:r>
      <w:r w:rsidR="00A12537">
        <w:rPr>
          <w:sz w:val="28"/>
          <w:szCs w:val="28"/>
        </w:rPr>
        <w:t xml:space="preserve"> 202</w:t>
      </w:r>
      <w:r w:rsidR="000B6257">
        <w:rPr>
          <w:sz w:val="28"/>
          <w:szCs w:val="28"/>
        </w:rPr>
        <w:t>4</w:t>
      </w:r>
      <w:r w:rsidR="00A12537">
        <w:rPr>
          <w:sz w:val="28"/>
          <w:szCs w:val="28"/>
        </w:rPr>
        <w:t xml:space="preserve"> года выше поступлений аналогичного периода прошлого года на </w:t>
      </w:r>
      <w:r w:rsidR="000B6257">
        <w:rPr>
          <w:sz w:val="28"/>
          <w:szCs w:val="28"/>
        </w:rPr>
        <w:t>8878,0</w:t>
      </w:r>
      <w:r w:rsidR="00A12537">
        <w:rPr>
          <w:sz w:val="28"/>
          <w:szCs w:val="28"/>
        </w:rPr>
        <w:t xml:space="preserve"> тыс. рублей или на </w:t>
      </w:r>
      <w:r w:rsidR="000B6257">
        <w:rPr>
          <w:sz w:val="28"/>
          <w:szCs w:val="28"/>
        </w:rPr>
        <w:t>133,4</w:t>
      </w:r>
      <w:r w:rsidR="00A12537">
        <w:rPr>
          <w:sz w:val="28"/>
          <w:szCs w:val="28"/>
        </w:rPr>
        <w:t>%</w:t>
      </w:r>
      <w:r w:rsidR="006909AE">
        <w:rPr>
          <w:sz w:val="28"/>
          <w:szCs w:val="28"/>
        </w:rPr>
        <w:t>.</w:t>
      </w:r>
    </w:p>
    <w:p w:rsidR="008702D3" w:rsidRDefault="008702D3" w:rsidP="008C581A">
      <w:pPr>
        <w:ind w:firstLine="567"/>
        <w:jc w:val="both"/>
        <w:rPr>
          <w:sz w:val="28"/>
          <w:szCs w:val="28"/>
        </w:rPr>
      </w:pPr>
      <w:r w:rsidRPr="008702D3">
        <w:rPr>
          <w:sz w:val="28"/>
          <w:szCs w:val="28"/>
        </w:rPr>
        <w:t>Структура поступления налоговых и неналоговых доходов</w:t>
      </w:r>
      <w:r>
        <w:rPr>
          <w:sz w:val="28"/>
          <w:szCs w:val="28"/>
        </w:rPr>
        <w:t xml:space="preserve"> </w:t>
      </w:r>
      <w:r w:rsidR="00022410">
        <w:rPr>
          <w:sz w:val="28"/>
          <w:szCs w:val="28"/>
        </w:rPr>
        <w:t xml:space="preserve">в </w:t>
      </w:r>
      <w:r w:rsidR="00A12537">
        <w:rPr>
          <w:sz w:val="28"/>
          <w:szCs w:val="28"/>
        </w:rPr>
        <w:t>бюджет</w:t>
      </w:r>
      <w:r w:rsidR="00022410">
        <w:rPr>
          <w:sz w:val="28"/>
          <w:szCs w:val="28"/>
        </w:rPr>
        <w:t xml:space="preserve"> </w:t>
      </w:r>
      <w:proofErr w:type="spellStart"/>
      <w:r w:rsidR="00022410">
        <w:rPr>
          <w:sz w:val="28"/>
          <w:szCs w:val="28"/>
        </w:rPr>
        <w:t>Конышевского</w:t>
      </w:r>
      <w:proofErr w:type="spellEnd"/>
      <w:r w:rsidR="00022410">
        <w:rPr>
          <w:sz w:val="28"/>
          <w:szCs w:val="28"/>
        </w:rPr>
        <w:t xml:space="preserve"> района Курской области</w:t>
      </w:r>
      <w:r w:rsidRPr="008702D3">
        <w:rPr>
          <w:sz w:val="28"/>
          <w:szCs w:val="28"/>
        </w:rPr>
        <w:t xml:space="preserve"> </w:t>
      </w:r>
      <w:r w:rsidR="0038750E">
        <w:rPr>
          <w:sz w:val="28"/>
          <w:szCs w:val="28"/>
        </w:rPr>
        <w:t xml:space="preserve">за </w:t>
      </w:r>
      <w:r w:rsidR="009E2C5D">
        <w:rPr>
          <w:sz w:val="28"/>
          <w:szCs w:val="28"/>
        </w:rPr>
        <w:t>1 квартал 202</w:t>
      </w:r>
      <w:r w:rsidR="000B6257">
        <w:rPr>
          <w:sz w:val="28"/>
          <w:szCs w:val="28"/>
        </w:rPr>
        <w:t>4</w:t>
      </w:r>
      <w:r w:rsidR="0038750E">
        <w:rPr>
          <w:sz w:val="28"/>
          <w:szCs w:val="28"/>
        </w:rPr>
        <w:t xml:space="preserve"> года </w:t>
      </w:r>
      <w:r w:rsidRPr="008702D3">
        <w:rPr>
          <w:sz w:val="28"/>
          <w:szCs w:val="28"/>
        </w:rPr>
        <w:t>представлена в таблице</w:t>
      </w:r>
      <w:r w:rsidR="00407805">
        <w:rPr>
          <w:sz w:val="28"/>
          <w:szCs w:val="28"/>
        </w:rPr>
        <w:t>:</w:t>
      </w:r>
    </w:p>
    <w:p w:rsidR="008702D3" w:rsidRPr="00C60A06" w:rsidRDefault="008702D3" w:rsidP="008702D3">
      <w:pPr>
        <w:ind w:firstLine="567"/>
        <w:jc w:val="center"/>
        <w:rPr>
          <w:b/>
          <w:sz w:val="26"/>
          <w:szCs w:val="26"/>
        </w:rPr>
      </w:pPr>
      <w:r w:rsidRPr="00C60A06">
        <w:rPr>
          <w:b/>
          <w:sz w:val="26"/>
          <w:szCs w:val="26"/>
        </w:rPr>
        <w:t>Поступление налоговых и неналоговых доходов</w:t>
      </w:r>
    </w:p>
    <w:p w:rsidR="008702D3" w:rsidRPr="00C60A06" w:rsidRDefault="008702D3" w:rsidP="008702D3">
      <w:pPr>
        <w:jc w:val="center"/>
        <w:rPr>
          <w:b/>
          <w:sz w:val="26"/>
          <w:szCs w:val="26"/>
        </w:rPr>
      </w:pPr>
      <w:r w:rsidRPr="00C60A06">
        <w:rPr>
          <w:b/>
          <w:sz w:val="26"/>
          <w:szCs w:val="26"/>
        </w:rPr>
        <w:t xml:space="preserve">в бюджет </w:t>
      </w:r>
      <w:proofErr w:type="spellStart"/>
      <w:r w:rsidRPr="00C60A06">
        <w:rPr>
          <w:b/>
          <w:sz w:val="26"/>
          <w:szCs w:val="26"/>
        </w:rPr>
        <w:t>Конышевского</w:t>
      </w:r>
      <w:proofErr w:type="spellEnd"/>
      <w:r w:rsidRPr="00C60A06">
        <w:rPr>
          <w:b/>
          <w:sz w:val="26"/>
          <w:szCs w:val="26"/>
        </w:rPr>
        <w:t xml:space="preserve"> района Курской области </w:t>
      </w:r>
    </w:p>
    <w:p w:rsidR="000A14E4" w:rsidRPr="000A14E4" w:rsidRDefault="008702D3" w:rsidP="003E63E2">
      <w:pPr>
        <w:ind w:left="2832" w:firstLine="708"/>
        <w:rPr>
          <w:sz w:val="24"/>
          <w:szCs w:val="24"/>
        </w:rPr>
      </w:pPr>
      <w:r w:rsidRPr="00C60A06">
        <w:rPr>
          <w:b/>
          <w:sz w:val="26"/>
          <w:szCs w:val="26"/>
        </w:rPr>
        <w:t xml:space="preserve">за </w:t>
      </w:r>
      <w:r w:rsidR="000A14E4">
        <w:rPr>
          <w:b/>
          <w:sz w:val="26"/>
          <w:szCs w:val="26"/>
        </w:rPr>
        <w:t>1</w:t>
      </w:r>
      <w:r w:rsidR="0038750E">
        <w:rPr>
          <w:b/>
          <w:sz w:val="26"/>
          <w:szCs w:val="26"/>
        </w:rPr>
        <w:t xml:space="preserve"> </w:t>
      </w:r>
      <w:r w:rsidR="000A14E4">
        <w:rPr>
          <w:b/>
          <w:sz w:val="26"/>
          <w:szCs w:val="26"/>
        </w:rPr>
        <w:t>квартал</w:t>
      </w:r>
      <w:r w:rsidR="007D0125">
        <w:rPr>
          <w:b/>
          <w:sz w:val="26"/>
          <w:szCs w:val="26"/>
        </w:rPr>
        <w:t xml:space="preserve"> 202</w:t>
      </w:r>
      <w:r w:rsidR="000B6257">
        <w:rPr>
          <w:b/>
          <w:sz w:val="26"/>
          <w:szCs w:val="26"/>
        </w:rPr>
        <w:t>4</w:t>
      </w:r>
      <w:r w:rsidR="007D0125">
        <w:rPr>
          <w:b/>
          <w:sz w:val="26"/>
          <w:szCs w:val="26"/>
        </w:rPr>
        <w:t xml:space="preserve"> года</w:t>
      </w:r>
      <w:r w:rsidR="003E63E2">
        <w:rPr>
          <w:b/>
          <w:sz w:val="26"/>
          <w:szCs w:val="26"/>
        </w:rPr>
        <w:tab/>
      </w:r>
      <w:r w:rsidR="003E63E2">
        <w:rPr>
          <w:b/>
          <w:sz w:val="26"/>
          <w:szCs w:val="26"/>
        </w:rPr>
        <w:tab/>
      </w:r>
      <w:r w:rsidR="003E63E2">
        <w:rPr>
          <w:b/>
          <w:sz w:val="26"/>
          <w:szCs w:val="26"/>
        </w:rPr>
        <w:tab/>
      </w:r>
      <w:r w:rsidR="003E63E2">
        <w:rPr>
          <w:b/>
          <w:sz w:val="26"/>
          <w:szCs w:val="26"/>
        </w:rPr>
        <w:tab/>
      </w:r>
      <w:r w:rsidR="000A14E4" w:rsidRPr="000A14E4">
        <w:rPr>
          <w:bCs/>
          <w:sz w:val="24"/>
          <w:szCs w:val="24"/>
        </w:rPr>
        <w:t>(тыс. руб.)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276"/>
        <w:gridCol w:w="1134"/>
        <w:gridCol w:w="1134"/>
        <w:gridCol w:w="1134"/>
      </w:tblGrid>
      <w:tr w:rsidR="00001A04" w:rsidRPr="00C60A06" w:rsidTr="00260A67">
        <w:trPr>
          <w:trHeight w:val="38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A04" w:rsidRPr="00C60A06" w:rsidRDefault="00001A04" w:rsidP="001E46FB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0A67" w:rsidRDefault="00260A67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001A04" w:rsidRDefault="00001A04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Исполнено</w:t>
            </w:r>
          </w:p>
          <w:p w:rsidR="00001A04" w:rsidRDefault="00001A04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 xml:space="preserve"> на </w:t>
            </w:r>
          </w:p>
          <w:p w:rsidR="00001A04" w:rsidRPr="0038750E" w:rsidRDefault="00001A04" w:rsidP="0043455A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01.</w:t>
            </w:r>
            <w:r w:rsidR="00177C1C">
              <w:rPr>
                <w:b/>
                <w:bCs/>
                <w:sz w:val="16"/>
                <w:szCs w:val="16"/>
              </w:rPr>
              <w:t>04</w:t>
            </w:r>
            <w:r w:rsidR="000A14E4">
              <w:rPr>
                <w:b/>
                <w:bCs/>
                <w:sz w:val="16"/>
                <w:szCs w:val="16"/>
              </w:rPr>
              <w:t>.202</w:t>
            </w:r>
            <w:r w:rsidR="0043455A">
              <w:rPr>
                <w:b/>
                <w:bCs/>
                <w:sz w:val="16"/>
                <w:szCs w:val="16"/>
              </w:rPr>
              <w:t>3</w:t>
            </w:r>
            <w:r w:rsidRPr="008702D3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A04" w:rsidRDefault="00001A04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Утвержденные показатели на 202</w:t>
            </w:r>
            <w:r w:rsidR="0043455A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 </w:t>
            </w:r>
            <w:r w:rsidR="0038750E"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 w:rsidR="0038750E">
              <w:rPr>
                <w:b/>
                <w:bCs/>
                <w:sz w:val="16"/>
                <w:szCs w:val="16"/>
              </w:rPr>
              <w:t>)</w:t>
            </w:r>
          </w:p>
          <w:p w:rsidR="00001A04" w:rsidRPr="0038750E" w:rsidRDefault="00001A04" w:rsidP="007D0125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1A04" w:rsidRDefault="00001A0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001A04" w:rsidRDefault="00001A0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60A06">
              <w:rPr>
                <w:b/>
                <w:bCs/>
                <w:sz w:val="16"/>
                <w:szCs w:val="16"/>
              </w:rPr>
              <w:t>а</w:t>
            </w:r>
          </w:p>
          <w:p w:rsidR="00001A04" w:rsidRDefault="000A14E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01.04</w:t>
            </w:r>
            <w:r w:rsidR="00001A04">
              <w:rPr>
                <w:b/>
                <w:bCs/>
                <w:sz w:val="16"/>
                <w:szCs w:val="16"/>
              </w:rPr>
              <w:t>.202</w:t>
            </w:r>
            <w:r w:rsidR="0043455A">
              <w:rPr>
                <w:b/>
                <w:bCs/>
                <w:sz w:val="16"/>
                <w:szCs w:val="16"/>
              </w:rPr>
              <w:t>4</w:t>
            </w:r>
            <w:r w:rsidR="00001A04" w:rsidRPr="00C60A06">
              <w:rPr>
                <w:b/>
                <w:bCs/>
                <w:sz w:val="16"/>
                <w:szCs w:val="16"/>
              </w:rPr>
              <w:t xml:space="preserve">г. </w:t>
            </w:r>
          </w:p>
          <w:p w:rsidR="00001A04" w:rsidRPr="00C60A06" w:rsidRDefault="00001A0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04" w:rsidRDefault="00001A04" w:rsidP="001E46FB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001A04" w:rsidRDefault="00001A04" w:rsidP="00001A04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% исполнения </w:t>
            </w:r>
          </w:p>
        </w:tc>
      </w:tr>
      <w:tr w:rsidR="00001A04" w:rsidRPr="00001A04" w:rsidTr="00260A67">
        <w:trPr>
          <w:trHeight w:val="73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04" w:rsidRPr="00001A04" w:rsidRDefault="00001A04" w:rsidP="001E46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A04" w:rsidRPr="00001A04" w:rsidRDefault="00001A04" w:rsidP="001E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04" w:rsidRPr="00001A04" w:rsidRDefault="00001A04" w:rsidP="001E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A04" w:rsidRPr="00001A04" w:rsidRDefault="00001A04" w:rsidP="001E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04" w:rsidRPr="00001A04" w:rsidRDefault="00001A04" w:rsidP="00260A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1A04">
              <w:rPr>
                <w:b/>
                <w:bCs/>
                <w:sz w:val="16"/>
                <w:szCs w:val="16"/>
              </w:rPr>
              <w:t xml:space="preserve">к </w:t>
            </w:r>
            <w:proofErr w:type="gramStart"/>
            <w:r w:rsidRPr="00001A04">
              <w:rPr>
                <w:b/>
                <w:bCs/>
                <w:sz w:val="16"/>
                <w:szCs w:val="16"/>
              </w:rPr>
              <w:t>утвержден-</w:t>
            </w:r>
            <w:proofErr w:type="spellStart"/>
            <w:r w:rsidRPr="00001A04">
              <w:rPr>
                <w:b/>
                <w:bCs/>
                <w:sz w:val="16"/>
                <w:szCs w:val="16"/>
              </w:rPr>
              <w:t>ным</w:t>
            </w:r>
            <w:proofErr w:type="spellEnd"/>
            <w:proofErr w:type="gramEnd"/>
            <w:r w:rsidRPr="00001A04">
              <w:rPr>
                <w:b/>
                <w:bCs/>
                <w:sz w:val="16"/>
                <w:szCs w:val="16"/>
              </w:rPr>
              <w:t xml:space="preserve"> показателям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04" w:rsidRPr="00001A04" w:rsidRDefault="000A14E4" w:rsidP="004345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исполнению на 01.04.202</w:t>
            </w:r>
            <w:r w:rsidR="0043455A">
              <w:rPr>
                <w:b/>
                <w:bCs/>
                <w:sz w:val="16"/>
                <w:szCs w:val="16"/>
              </w:rPr>
              <w:t>3</w:t>
            </w:r>
            <w:r w:rsidR="00001A04" w:rsidRPr="00001A04">
              <w:rPr>
                <w:b/>
                <w:bCs/>
                <w:sz w:val="16"/>
                <w:szCs w:val="16"/>
              </w:rPr>
              <w:t>г</w:t>
            </w:r>
            <w:r w:rsidR="007D012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24602E" w:rsidRPr="00C60A06" w:rsidTr="00260A67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rPr>
                <w:b/>
                <w:bCs/>
                <w:sz w:val="18"/>
                <w:szCs w:val="18"/>
              </w:rPr>
            </w:pPr>
            <w:r w:rsidRPr="0009545E">
              <w:rPr>
                <w:b/>
                <w:bCs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5E3103" w:rsidP="00246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5E3103" w:rsidP="0038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C60A06" w:rsidRDefault="005E3103" w:rsidP="001E46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97E58" w:rsidRDefault="005E3103" w:rsidP="001E46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7D5D67" w:rsidRDefault="005E3103" w:rsidP="003C60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133,4</w:t>
            </w:r>
          </w:p>
        </w:tc>
      </w:tr>
      <w:tr w:rsidR="0024602E" w:rsidRPr="00C60A06" w:rsidTr="00260A67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09545E" w:rsidRDefault="0024602E" w:rsidP="001E46FB">
            <w:pPr>
              <w:jc w:val="both"/>
              <w:rPr>
                <w:b/>
                <w:bCs/>
                <w:sz w:val="18"/>
                <w:szCs w:val="18"/>
              </w:rPr>
            </w:pPr>
            <w:r w:rsidRPr="0009545E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5E3103" w:rsidP="00246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5E3103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C60A06" w:rsidRDefault="005E3103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97E58" w:rsidRDefault="005E3103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7D5D67" w:rsidRDefault="005E3103" w:rsidP="003C6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117,1</w:t>
            </w:r>
          </w:p>
        </w:tc>
      </w:tr>
      <w:tr w:rsidR="0024602E" w:rsidRPr="006909AE" w:rsidTr="00260A67">
        <w:trPr>
          <w:trHeight w:val="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5E3103" w:rsidP="0024602E">
            <w:pPr>
              <w:jc w:val="center"/>
              <w:rPr>
                <w:bCs/>
              </w:rPr>
            </w:pPr>
            <w:r>
              <w:rPr>
                <w:bCs/>
              </w:rPr>
              <w:t>19292,2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98301,8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5E3103" w:rsidP="00153996">
            <w:pPr>
              <w:jc w:val="center"/>
              <w:rPr>
                <w:bCs/>
              </w:rPr>
            </w:pPr>
            <w:r>
              <w:rPr>
                <w:bCs/>
              </w:rPr>
              <w:t>21749,1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97E58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7D5D67" w:rsidRDefault="005E3103" w:rsidP="003C60CD">
            <w:pPr>
              <w:jc w:val="center"/>
              <w:rPr>
                <w:bCs/>
              </w:rPr>
            </w:pPr>
            <w:r>
              <w:rPr>
                <w:bCs/>
              </w:rPr>
              <w:t>112,7</w:t>
            </w:r>
          </w:p>
        </w:tc>
      </w:tr>
      <w:tr w:rsidR="0024602E" w:rsidRPr="006909AE" w:rsidTr="00260A67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НАЛОГИ НА ТОВАРЫ (РАБОТЫ, УСЛУГИ), РЕАЛИЗУЕМЫЕ НА ТЕРРИТОРИИ РФ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5E3103" w:rsidP="0024602E">
            <w:pPr>
              <w:jc w:val="center"/>
              <w:rPr>
                <w:bCs/>
              </w:rPr>
            </w:pPr>
            <w:r>
              <w:rPr>
                <w:bCs/>
              </w:rPr>
              <w:t>2584,0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11216,8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2852,4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97E58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7D5D67" w:rsidRDefault="005E3103" w:rsidP="003C60CD">
            <w:pPr>
              <w:jc w:val="center"/>
              <w:rPr>
                <w:bCs/>
              </w:rPr>
            </w:pPr>
            <w:r>
              <w:rPr>
                <w:bCs/>
              </w:rPr>
              <w:t>110,4</w:t>
            </w:r>
          </w:p>
        </w:tc>
      </w:tr>
      <w:tr w:rsidR="0024602E" w:rsidRPr="006909AE" w:rsidTr="00260A67">
        <w:trPr>
          <w:trHeight w:val="1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НАЛОГИ НА СОВОКУПНЫЙ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5E3103" w:rsidP="0024602E">
            <w:pPr>
              <w:jc w:val="center"/>
              <w:rPr>
                <w:bCs/>
              </w:rPr>
            </w:pPr>
            <w:r>
              <w:rPr>
                <w:bCs/>
              </w:rPr>
              <w:t>228,7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3377,1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1341,7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42F85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5E3103" w:rsidRDefault="005E3103" w:rsidP="003C60CD">
            <w:pPr>
              <w:jc w:val="center"/>
              <w:rPr>
                <w:bCs/>
                <w:sz w:val="16"/>
                <w:szCs w:val="16"/>
              </w:rPr>
            </w:pPr>
            <w:r w:rsidRPr="005E3103">
              <w:rPr>
                <w:bCs/>
                <w:sz w:val="16"/>
                <w:szCs w:val="16"/>
              </w:rPr>
              <w:t>Более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E3103">
              <w:rPr>
                <w:bCs/>
                <w:sz w:val="16"/>
                <w:szCs w:val="16"/>
              </w:rPr>
              <w:t>500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5E3103" w:rsidP="0024602E">
            <w:pPr>
              <w:jc w:val="center"/>
              <w:rPr>
                <w:bCs/>
              </w:rPr>
            </w:pPr>
            <w:r>
              <w:rPr>
                <w:bCs/>
              </w:rPr>
              <w:t>204,5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993,6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42F85" w:rsidRDefault="005E3103" w:rsidP="001E46FB">
            <w:pPr>
              <w:jc w:val="center"/>
              <w:rPr>
                <w:bCs/>
              </w:rPr>
            </w:pPr>
            <w:r>
              <w:rPr>
                <w:bCs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5E3103" w:rsidP="003C60CD">
            <w:pPr>
              <w:jc w:val="center"/>
              <w:rPr>
                <w:bCs/>
              </w:rPr>
            </w:pPr>
            <w:r>
              <w:rPr>
                <w:bCs/>
              </w:rPr>
              <w:t>92,0</w:t>
            </w:r>
          </w:p>
        </w:tc>
      </w:tr>
      <w:tr w:rsidR="0024602E" w:rsidRPr="00C60A06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09545E" w:rsidRDefault="0024602E" w:rsidP="001E46FB">
            <w:pPr>
              <w:jc w:val="both"/>
              <w:rPr>
                <w:b/>
                <w:bCs/>
                <w:sz w:val="18"/>
                <w:szCs w:val="18"/>
              </w:rPr>
            </w:pPr>
            <w:r w:rsidRPr="0009545E">
              <w:rPr>
                <w:b/>
                <w:bCs/>
                <w:sz w:val="18"/>
                <w:szCs w:val="18"/>
              </w:rPr>
              <w:lastRenderedPageBreak/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11284B" w:rsidP="00246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11284B" w:rsidP="003E5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C60A06" w:rsidRDefault="0011284B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11284B" w:rsidP="00F42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11284B" w:rsidP="003C6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217,5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24602E">
            <w:pPr>
              <w:jc w:val="center"/>
              <w:rPr>
                <w:bCs/>
              </w:rPr>
            </w:pPr>
            <w:r>
              <w:rPr>
                <w:bCs/>
              </w:rPr>
              <w:t>3049,0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24602E">
            <w:pPr>
              <w:jc w:val="center"/>
              <w:rPr>
                <w:bCs/>
              </w:rPr>
            </w:pPr>
            <w:r>
              <w:rPr>
                <w:bCs/>
              </w:rPr>
              <w:t>22145,0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6004,3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11284B" w:rsidP="005A5585">
            <w:pPr>
              <w:jc w:val="center"/>
              <w:rPr>
                <w:bCs/>
              </w:rPr>
            </w:pPr>
            <w:r>
              <w:rPr>
                <w:bCs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11284B" w:rsidP="003C60CD">
            <w:pPr>
              <w:jc w:val="center"/>
              <w:rPr>
                <w:bCs/>
              </w:rPr>
            </w:pPr>
            <w:r>
              <w:rPr>
                <w:bCs/>
              </w:rPr>
              <w:t>196,9</w:t>
            </w:r>
          </w:p>
        </w:tc>
      </w:tr>
      <w:tr w:rsidR="0024602E" w:rsidRPr="006909AE" w:rsidTr="00260A67">
        <w:trPr>
          <w:trHeight w:val="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ПЛАТЕЖИ ПРИ ПОЛЬЗОВАНИИ ПРИРОДНЫМИ РЕСУРСАМИ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24602E">
            <w:pPr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3E55BA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11284B" w:rsidP="003C60CD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24602E" w:rsidRPr="006909AE" w:rsidTr="00260A67">
        <w:trPr>
          <w:trHeight w:val="3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24602E">
            <w:pPr>
              <w:jc w:val="center"/>
              <w:rPr>
                <w:bCs/>
              </w:rPr>
            </w:pPr>
            <w:r>
              <w:rPr>
                <w:bCs/>
              </w:rPr>
              <w:t>1112,3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4640,4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11284B" w:rsidP="003E55BA">
            <w:pPr>
              <w:jc w:val="center"/>
              <w:rPr>
                <w:bCs/>
              </w:rPr>
            </w:pPr>
            <w:r>
              <w:rPr>
                <w:bCs/>
              </w:rPr>
              <w:t>1185,2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11284B" w:rsidP="003C60CD">
            <w:pPr>
              <w:jc w:val="center"/>
              <w:rPr>
                <w:bCs/>
              </w:rPr>
            </w:pPr>
            <w:r>
              <w:rPr>
                <w:bCs/>
              </w:rPr>
              <w:t>106,5</w:t>
            </w:r>
          </w:p>
        </w:tc>
      </w:tr>
      <w:tr w:rsidR="0024602E" w:rsidRPr="006909AE" w:rsidTr="00260A67">
        <w:trPr>
          <w:trHeight w:val="2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24602E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11284B" w:rsidP="003E55BA">
            <w:pPr>
              <w:jc w:val="center"/>
              <w:rPr>
                <w:bCs/>
              </w:rPr>
            </w:pPr>
            <w:r>
              <w:rPr>
                <w:bCs/>
              </w:rPr>
              <w:t>2148,9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11284B" w:rsidRDefault="0011284B" w:rsidP="00C10E4F">
            <w:pPr>
              <w:jc w:val="center"/>
              <w:rPr>
                <w:bCs/>
                <w:sz w:val="16"/>
                <w:szCs w:val="16"/>
              </w:rPr>
            </w:pPr>
            <w:r w:rsidRPr="0011284B">
              <w:rPr>
                <w:bCs/>
                <w:sz w:val="16"/>
                <w:szCs w:val="16"/>
              </w:rPr>
              <w:t>Почти в 30 раз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ШТРАФЫ, САНКЦИИ, ВОЗМЕЩЕНИЕ УЩЕРБА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24602E">
            <w:pPr>
              <w:jc w:val="center"/>
              <w:rPr>
                <w:bCs/>
              </w:rPr>
            </w:pPr>
            <w:r>
              <w:rPr>
                <w:bCs/>
              </w:rPr>
              <w:t>67,8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11284B" w:rsidP="003E55BA">
            <w:pPr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11284B" w:rsidP="003C60CD">
            <w:pPr>
              <w:jc w:val="center"/>
              <w:rPr>
                <w:bCs/>
              </w:rPr>
            </w:pPr>
            <w:r>
              <w:rPr>
                <w:bCs/>
              </w:rPr>
              <w:t>28,9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09545E" w:rsidRDefault="0024602E" w:rsidP="00335EC9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24602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11284B" w:rsidP="00C533A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11284B" w:rsidP="001E46F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11284B" w:rsidP="003C60C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3E63E2" w:rsidRDefault="003E63E2" w:rsidP="008C581A">
      <w:pPr>
        <w:ind w:firstLine="567"/>
        <w:jc w:val="both"/>
        <w:rPr>
          <w:sz w:val="28"/>
          <w:szCs w:val="28"/>
        </w:rPr>
      </w:pPr>
    </w:p>
    <w:p w:rsidR="008702D3" w:rsidRDefault="00A12537" w:rsidP="008C581A">
      <w:pPr>
        <w:ind w:firstLine="567"/>
        <w:jc w:val="both"/>
        <w:rPr>
          <w:sz w:val="28"/>
          <w:szCs w:val="28"/>
        </w:rPr>
      </w:pPr>
      <w:r w:rsidRPr="00795D2C">
        <w:rPr>
          <w:sz w:val="28"/>
          <w:szCs w:val="28"/>
        </w:rPr>
        <w:t>Налогов</w:t>
      </w:r>
      <w:r w:rsidR="00650173" w:rsidRPr="00795D2C">
        <w:rPr>
          <w:sz w:val="28"/>
          <w:szCs w:val="28"/>
        </w:rPr>
        <w:t>ые доходы бюджета района за отчетный период</w:t>
      </w:r>
      <w:r w:rsidRPr="00795D2C">
        <w:rPr>
          <w:sz w:val="28"/>
          <w:szCs w:val="28"/>
        </w:rPr>
        <w:t xml:space="preserve"> </w:t>
      </w:r>
      <w:r w:rsidR="00650173" w:rsidRPr="00795D2C">
        <w:rPr>
          <w:sz w:val="28"/>
          <w:szCs w:val="28"/>
        </w:rPr>
        <w:t>исполнены</w:t>
      </w:r>
      <w:r w:rsidRPr="00795D2C">
        <w:rPr>
          <w:sz w:val="28"/>
          <w:szCs w:val="28"/>
        </w:rPr>
        <w:t xml:space="preserve"> в </w:t>
      </w:r>
      <w:r w:rsidR="00650173" w:rsidRPr="00795D2C">
        <w:rPr>
          <w:sz w:val="28"/>
          <w:szCs w:val="28"/>
        </w:rPr>
        <w:t>сумме</w:t>
      </w:r>
      <w:r w:rsidRPr="00795D2C">
        <w:rPr>
          <w:sz w:val="28"/>
          <w:szCs w:val="28"/>
        </w:rPr>
        <w:t xml:space="preserve"> </w:t>
      </w:r>
      <w:r w:rsidR="00BC4431">
        <w:rPr>
          <w:sz w:val="28"/>
          <w:szCs w:val="28"/>
        </w:rPr>
        <w:t>26131,3</w:t>
      </w:r>
      <w:r w:rsidRPr="00795D2C">
        <w:rPr>
          <w:sz w:val="28"/>
          <w:szCs w:val="28"/>
        </w:rPr>
        <w:t xml:space="preserve"> тыс. рублей или </w:t>
      </w:r>
      <w:r w:rsidR="00795D2C" w:rsidRPr="00795D2C">
        <w:rPr>
          <w:sz w:val="28"/>
          <w:szCs w:val="28"/>
        </w:rPr>
        <w:t xml:space="preserve">на </w:t>
      </w:r>
      <w:r w:rsidR="00BC4431">
        <w:rPr>
          <w:sz w:val="28"/>
          <w:szCs w:val="28"/>
        </w:rPr>
        <w:t>22,9</w:t>
      </w:r>
      <w:r w:rsidRPr="00795D2C">
        <w:rPr>
          <w:sz w:val="28"/>
          <w:szCs w:val="28"/>
        </w:rPr>
        <w:t>% от утвержденных годовых назначений</w:t>
      </w:r>
      <w:r w:rsidR="00795D2C" w:rsidRPr="00795D2C">
        <w:rPr>
          <w:sz w:val="28"/>
          <w:szCs w:val="28"/>
        </w:rPr>
        <w:t xml:space="preserve">, </w:t>
      </w:r>
      <w:r w:rsidR="004002E5" w:rsidRPr="00795D2C">
        <w:rPr>
          <w:sz w:val="28"/>
          <w:szCs w:val="28"/>
        </w:rPr>
        <w:t>и с увеличением</w:t>
      </w:r>
      <w:r w:rsidR="00795D2C" w:rsidRPr="00795D2C">
        <w:rPr>
          <w:sz w:val="28"/>
          <w:szCs w:val="28"/>
        </w:rPr>
        <w:t xml:space="preserve"> относительно ана</w:t>
      </w:r>
      <w:r w:rsidR="00B6026E">
        <w:rPr>
          <w:sz w:val="28"/>
          <w:szCs w:val="28"/>
        </w:rPr>
        <w:t>логичного периода 202</w:t>
      </w:r>
      <w:r w:rsidR="00BC4431">
        <w:rPr>
          <w:sz w:val="28"/>
          <w:szCs w:val="28"/>
        </w:rPr>
        <w:t>3</w:t>
      </w:r>
      <w:r w:rsidR="00A311AD">
        <w:rPr>
          <w:sz w:val="28"/>
          <w:szCs w:val="28"/>
        </w:rPr>
        <w:t xml:space="preserve"> года на </w:t>
      </w:r>
      <w:r w:rsidR="00BC4431">
        <w:rPr>
          <w:sz w:val="28"/>
          <w:szCs w:val="28"/>
        </w:rPr>
        <w:t>17,1</w:t>
      </w:r>
      <w:r w:rsidR="00795D2C" w:rsidRPr="00795D2C">
        <w:rPr>
          <w:sz w:val="28"/>
          <w:szCs w:val="28"/>
        </w:rPr>
        <w:t>%</w:t>
      </w:r>
      <w:r w:rsidR="004E1CB8">
        <w:rPr>
          <w:sz w:val="28"/>
          <w:szCs w:val="28"/>
        </w:rPr>
        <w:t>.</w:t>
      </w:r>
    </w:p>
    <w:p w:rsidR="00E32E11" w:rsidRDefault="00E32E11" w:rsidP="008C5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налоговых доходов бюджета района приходится на налог на прибыль – </w:t>
      </w:r>
      <w:r w:rsidR="00F36B3C">
        <w:rPr>
          <w:sz w:val="28"/>
          <w:szCs w:val="28"/>
        </w:rPr>
        <w:t>83,2</w:t>
      </w:r>
      <w:r w:rsidR="00BA409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36B3C" w:rsidRDefault="00E32E11" w:rsidP="00E32E11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537" w:rsidRPr="004E1CB8">
        <w:rPr>
          <w:bCs/>
          <w:iCs/>
          <w:sz w:val="28"/>
          <w:szCs w:val="28"/>
        </w:rPr>
        <w:t>Неналогов</w:t>
      </w:r>
      <w:r w:rsidR="001F68E1" w:rsidRPr="004E1CB8">
        <w:rPr>
          <w:bCs/>
          <w:iCs/>
          <w:sz w:val="28"/>
          <w:szCs w:val="28"/>
        </w:rPr>
        <w:t>ы</w:t>
      </w:r>
      <w:r w:rsidR="00F36B3C">
        <w:rPr>
          <w:bCs/>
          <w:iCs/>
          <w:sz w:val="28"/>
          <w:szCs w:val="28"/>
        </w:rPr>
        <w:t xml:space="preserve">е доходы </w:t>
      </w:r>
      <w:r w:rsidR="00795D2C" w:rsidRPr="004E1CB8">
        <w:rPr>
          <w:bCs/>
          <w:iCs/>
          <w:sz w:val="28"/>
          <w:szCs w:val="28"/>
        </w:rPr>
        <w:t xml:space="preserve">за </w:t>
      </w:r>
      <w:r w:rsidR="00B6026E">
        <w:rPr>
          <w:bCs/>
          <w:iCs/>
          <w:sz w:val="28"/>
          <w:szCs w:val="28"/>
        </w:rPr>
        <w:t>1 квартал</w:t>
      </w:r>
      <w:r w:rsidR="00D31060">
        <w:rPr>
          <w:bCs/>
          <w:iCs/>
          <w:sz w:val="28"/>
          <w:szCs w:val="28"/>
        </w:rPr>
        <w:t xml:space="preserve"> </w:t>
      </w:r>
      <w:r w:rsidR="001F68E1" w:rsidRPr="004E1CB8">
        <w:rPr>
          <w:bCs/>
          <w:iCs/>
          <w:sz w:val="28"/>
          <w:szCs w:val="28"/>
        </w:rPr>
        <w:t>202</w:t>
      </w:r>
      <w:r w:rsidR="00F36B3C">
        <w:rPr>
          <w:bCs/>
          <w:iCs/>
          <w:sz w:val="28"/>
          <w:szCs w:val="28"/>
        </w:rPr>
        <w:t>4</w:t>
      </w:r>
      <w:r w:rsidR="001F68E1" w:rsidRPr="004E1CB8">
        <w:rPr>
          <w:bCs/>
          <w:iCs/>
          <w:sz w:val="28"/>
          <w:szCs w:val="28"/>
        </w:rPr>
        <w:t xml:space="preserve"> года </w:t>
      </w:r>
      <w:r w:rsidR="004E1CB8" w:rsidRPr="004E1CB8">
        <w:rPr>
          <w:bCs/>
          <w:iCs/>
          <w:sz w:val="28"/>
          <w:szCs w:val="28"/>
        </w:rPr>
        <w:t>исполнены в сумме</w:t>
      </w:r>
      <w:r w:rsidR="00795D2C" w:rsidRPr="004E1CB8">
        <w:rPr>
          <w:bCs/>
          <w:iCs/>
          <w:sz w:val="28"/>
          <w:szCs w:val="28"/>
        </w:rPr>
        <w:t xml:space="preserve"> </w:t>
      </w:r>
      <w:r w:rsidR="00F36B3C">
        <w:rPr>
          <w:bCs/>
          <w:iCs/>
          <w:sz w:val="28"/>
          <w:szCs w:val="28"/>
        </w:rPr>
        <w:t>9359,2</w:t>
      </w:r>
      <w:r w:rsidR="001F68E1" w:rsidRPr="004E1CB8">
        <w:rPr>
          <w:bCs/>
          <w:iCs/>
          <w:sz w:val="28"/>
          <w:szCs w:val="28"/>
        </w:rPr>
        <w:t xml:space="preserve"> тыс.</w:t>
      </w:r>
      <w:r w:rsidR="004E1CB8">
        <w:rPr>
          <w:bCs/>
          <w:iCs/>
          <w:sz w:val="28"/>
          <w:szCs w:val="28"/>
        </w:rPr>
        <w:t xml:space="preserve"> </w:t>
      </w:r>
      <w:r w:rsidR="001F68E1" w:rsidRPr="004E1CB8">
        <w:rPr>
          <w:bCs/>
          <w:iCs/>
          <w:sz w:val="28"/>
          <w:szCs w:val="28"/>
        </w:rPr>
        <w:t xml:space="preserve">рублей, что составляет </w:t>
      </w:r>
      <w:r w:rsidR="00F36B3C">
        <w:rPr>
          <w:bCs/>
          <w:iCs/>
          <w:sz w:val="28"/>
          <w:szCs w:val="28"/>
        </w:rPr>
        <w:t>34,3</w:t>
      </w:r>
      <w:r w:rsidR="001F68E1" w:rsidRPr="004E1CB8">
        <w:rPr>
          <w:bCs/>
          <w:iCs/>
          <w:sz w:val="28"/>
          <w:szCs w:val="28"/>
        </w:rPr>
        <w:t>% от утвержденных годовых назначений</w:t>
      </w:r>
      <w:r w:rsidR="00120DEE" w:rsidRPr="004E1CB8">
        <w:rPr>
          <w:bCs/>
          <w:iCs/>
          <w:sz w:val="28"/>
          <w:szCs w:val="28"/>
        </w:rPr>
        <w:t xml:space="preserve"> и </w:t>
      </w:r>
      <w:r w:rsidR="00F36B3C">
        <w:rPr>
          <w:bCs/>
          <w:iCs/>
          <w:sz w:val="28"/>
          <w:szCs w:val="28"/>
        </w:rPr>
        <w:t xml:space="preserve">с увеличением относительно аналогичного периода 2023 года </w:t>
      </w:r>
      <w:r w:rsidR="004E1CB8" w:rsidRPr="004E1CB8">
        <w:rPr>
          <w:bCs/>
          <w:iCs/>
          <w:sz w:val="28"/>
          <w:szCs w:val="28"/>
        </w:rPr>
        <w:t xml:space="preserve"> </w:t>
      </w:r>
      <w:r w:rsidR="00F36B3C">
        <w:rPr>
          <w:bCs/>
          <w:iCs/>
          <w:sz w:val="28"/>
          <w:szCs w:val="28"/>
        </w:rPr>
        <w:t xml:space="preserve">на 117,5%. </w:t>
      </w:r>
    </w:p>
    <w:p w:rsidR="00E32E11" w:rsidRPr="004E1CB8" w:rsidRDefault="00E32E11" w:rsidP="00E32E11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неналоговых доходов бюджета района приходится на доходы </w:t>
      </w:r>
      <w:r w:rsidR="00255FB8">
        <w:rPr>
          <w:bCs/>
          <w:iCs/>
          <w:sz w:val="28"/>
          <w:szCs w:val="28"/>
        </w:rPr>
        <w:t>от использования имущества, находящегося в государственной и муниципальной собственности 64,2%.</w:t>
      </w:r>
    </w:p>
    <w:p w:rsidR="004002E5" w:rsidRPr="00A12537" w:rsidRDefault="004002E5" w:rsidP="008C581A">
      <w:pPr>
        <w:ind w:firstLine="720"/>
        <w:jc w:val="both"/>
        <w:rPr>
          <w:bCs/>
          <w:iCs/>
          <w:color w:val="FF0000"/>
          <w:sz w:val="28"/>
          <w:szCs w:val="28"/>
        </w:rPr>
      </w:pPr>
    </w:p>
    <w:p w:rsidR="00A12537" w:rsidRDefault="00A12537" w:rsidP="004E1CB8">
      <w:pPr>
        <w:ind w:firstLine="567"/>
        <w:jc w:val="both"/>
        <w:rPr>
          <w:b/>
          <w:bCs/>
          <w:iCs/>
          <w:sz w:val="28"/>
          <w:szCs w:val="28"/>
        </w:rPr>
      </w:pPr>
      <w:r w:rsidRPr="00A12537">
        <w:rPr>
          <w:b/>
          <w:bCs/>
          <w:iCs/>
          <w:sz w:val="28"/>
          <w:szCs w:val="28"/>
        </w:rPr>
        <w:t>2.2. Безвозмездные поступл</w:t>
      </w:r>
      <w:r w:rsidR="00BC16BC">
        <w:rPr>
          <w:b/>
          <w:bCs/>
          <w:iCs/>
          <w:sz w:val="28"/>
          <w:szCs w:val="28"/>
        </w:rPr>
        <w:t>ения</w:t>
      </w:r>
    </w:p>
    <w:p w:rsidR="00650173" w:rsidRDefault="008C581A" w:rsidP="008C581A">
      <w:pPr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Б</w:t>
      </w:r>
      <w:r w:rsidRPr="00215A32">
        <w:rPr>
          <w:bCs/>
          <w:iCs/>
          <w:sz w:val="28"/>
          <w:szCs w:val="28"/>
        </w:rPr>
        <w:t>езвозмездные поступления</w:t>
      </w:r>
      <w:r w:rsidRPr="00215A32">
        <w:rPr>
          <w:sz w:val="28"/>
          <w:szCs w:val="28"/>
        </w:rPr>
        <w:t xml:space="preserve"> за </w:t>
      </w:r>
      <w:r w:rsidR="00B6026E">
        <w:rPr>
          <w:sz w:val="28"/>
          <w:szCs w:val="28"/>
        </w:rPr>
        <w:t>1 квартал</w:t>
      </w:r>
      <w:r w:rsidRPr="00215A32">
        <w:rPr>
          <w:sz w:val="28"/>
          <w:szCs w:val="28"/>
        </w:rPr>
        <w:t xml:space="preserve"> 202</w:t>
      </w:r>
      <w:r w:rsidR="005326C1">
        <w:rPr>
          <w:sz w:val="28"/>
          <w:szCs w:val="28"/>
        </w:rPr>
        <w:t>4</w:t>
      </w:r>
      <w:r w:rsidRPr="00215A32">
        <w:rPr>
          <w:sz w:val="28"/>
          <w:szCs w:val="28"/>
        </w:rPr>
        <w:t xml:space="preserve"> года составили </w:t>
      </w:r>
      <w:r w:rsidR="005326C1">
        <w:rPr>
          <w:sz w:val="28"/>
          <w:szCs w:val="28"/>
        </w:rPr>
        <w:t>43495,2</w:t>
      </w:r>
      <w:r w:rsidRPr="00215A32">
        <w:rPr>
          <w:sz w:val="28"/>
          <w:szCs w:val="28"/>
        </w:rPr>
        <w:t xml:space="preserve"> тыс. рублей</w:t>
      </w:r>
      <w:r w:rsidR="00824365">
        <w:rPr>
          <w:sz w:val="28"/>
          <w:szCs w:val="28"/>
        </w:rPr>
        <w:t xml:space="preserve">, что составляет </w:t>
      </w:r>
      <w:r w:rsidR="005326C1">
        <w:rPr>
          <w:sz w:val="28"/>
          <w:szCs w:val="28"/>
        </w:rPr>
        <w:t>20,3</w:t>
      </w:r>
      <w:r w:rsidR="00824365">
        <w:rPr>
          <w:sz w:val="28"/>
          <w:szCs w:val="28"/>
        </w:rPr>
        <w:t>% от утвержденных годовых</w:t>
      </w:r>
      <w:r w:rsidRPr="00215A32">
        <w:rPr>
          <w:sz w:val="28"/>
          <w:szCs w:val="28"/>
        </w:rPr>
        <w:t xml:space="preserve"> назначени</w:t>
      </w:r>
      <w:r w:rsidR="00824365">
        <w:rPr>
          <w:sz w:val="28"/>
          <w:szCs w:val="28"/>
        </w:rPr>
        <w:t xml:space="preserve">й и </w:t>
      </w:r>
      <w:r w:rsidR="005326C1">
        <w:rPr>
          <w:sz w:val="28"/>
          <w:szCs w:val="28"/>
        </w:rPr>
        <w:t>55,1</w:t>
      </w:r>
      <w:r w:rsidRPr="00215A32">
        <w:rPr>
          <w:sz w:val="28"/>
          <w:szCs w:val="28"/>
        </w:rPr>
        <w:t xml:space="preserve">% в общем объеме </w:t>
      </w:r>
      <w:r w:rsidR="00824365">
        <w:rPr>
          <w:sz w:val="28"/>
          <w:szCs w:val="28"/>
        </w:rPr>
        <w:t xml:space="preserve">поступивших </w:t>
      </w:r>
      <w:r w:rsidRPr="00215A32">
        <w:rPr>
          <w:sz w:val="28"/>
          <w:szCs w:val="28"/>
        </w:rPr>
        <w:t>доходов бюджета</w:t>
      </w:r>
      <w:r w:rsidR="00824365">
        <w:rPr>
          <w:sz w:val="28"/>
          <w:szCs w:val="28"/>
        </w:rPr>
        <w:t xml:space="preserve"> района</w:t>
      </w:r>
      <w:r w:rsidRPr="00215A32">
        <w:rPr>
          <w:sz w:val="28"/>
          <w:szCs w:val="28"/>
        </w:rPr>
        <w:t>.</w:t>
      </w:r>
      <w:r w:rsidR="00D207DD">
        <w:rPr>
          <w:sz w:val="28"/>
          <w:szCs w:val="28"/>
        </w:rPr>
        <w:t xml:space="preserve"> </w:t>
      </w:r>
      <w:r w:rsidR="00876974">
        <w:rPr>
          <w:sz w:val="28"/>
          <w:szCs w:val="28"/>
        </w:rPr>
        <w:t>Сумма поступивших за 1 квартал</w:t>
      </w:r>
      <w:r w:rsidR="00776102">
        <w:rPr>
          <w:sz w:val="28"/>
          <w:szCs w:val="28"/>
        </w:rPr>
        <w:t xml:space="preserve"> 202</w:t>
      </w:r>
      <w:r w:rsidR="005326C1">
        <w:rPr>
          <w:sz w:val="28"/>
          <w:szCs w:val="28"/>
        </w:rPr>
        <w:t>4</w:t>
      </w:r>
      <w:r w:rsidR="00776102">
        <w:rPr>
          <w:sz w:val="28"/>
          <w:szCs w:val="28"/>
        </w:rPr>
        <w:t xml:space="preserve"> года безвозмездных поступлений </w:t>
      </w:r>
      <w:r w:rsidR="005326C1">
        <w:rPr>
          <w:sz w:val="28"/>
          <w:szCs w:val="28"/>
        </w:rPr>
        <w:t>ниже</w:t>
      </w:r>
      <w:r w:rsidR="00776102">
        <w:rPr>
          <w:sz w:val="28"/>
          <w:szCs w:val="28"/>
        </w:rPr>
        <w:t xml:space="preserve"> показателей ана</w:t>
      </w:r>
      <w:r w:rsidR="00876974">
        <w:rPr>
          <w:sz w:val="28"/>
          <w:szCs w:val="28"/>
        </w:rPr>
        <w:t>логичного периода 202</w:t>
      </w:r>
      <w:r w:rsidR="005326C1">
        <w:rPr>
          <w:sz w:val="28"/>
          <w:szCs w:val="28"/>
        </w:rPr>
        <w:t>3</w:t>
      </w:r>
      <w:r w:rsidR="002E151C">
        <w:rPr>
          <w:sz w:val="28"/>
          <w:szCs w:val="28"/>
        </w:rPr>
        <w:t xml:space="preserve"> года</w:t>
      </w:r>
      <w:r w:rsidR="00876974">
        <w:rPr>
          <w:sz w:val="28"/>
          <w:szCs w:val="28"/>
        </w:rPr>
        <w:t xml:space="preserve"> на </w:t>
      </w:r>
      <w:r w:rsidR="005326C1">
        <w:rPr>
          <w:sz w:val="28"/>
          <w:szCs w:val="28"/>
        </w:rPr>
        <w:t>6484,9</w:t>
      </w:r>
      <w:r w:rsidR="00876974">
        <w:rPr>
          <w:sz w:val="28"/>
          <w:szCs w:val="28"/>
        </w:rPr>
        <w:t xml:space="preserve"> тыс. рублей или </w:t>
      </w:r>
      <w:r w:rsidR="002E151C">
        <w:rPr>
          <w:sz w:val="28"/>
          <w:szCs w:val="28"/>
        </w:rPr>
        <w:t xml:space="preserve">на </w:t>
      </w:r>
      <w:r w:rsidR="005326C1">
        <w:rPr>
          <w:sz w:val="28"/>
          <w:szCs w:val="28"/>
        </w:rPr>
        <w:t>13,0</w:t>
      </w:r>
      <w:r w:rsidR="00776102">
        <w:rPr>
          <w:sz w:val="28"/>
          <w:szCs w:val="28"/>
        </w:rPr>
        <w:t>%.</w:t>
      </w:r>
    </w:p>
    <w:p w:rsidR="004E1CB8" w:rsidRDefault="004E1CB8" w:rsidP="008C58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безвозмездных поступлений</w:t>
      </w:r>
      <w:r w:rsidR="003560DD">
        <w:rPr>
          <w:sz w:val="28"/>
          <w:szCs w:val="28"/>
        </w:rPr>
        <w:t xml:space="preserve"> за </w:t>
      </w:r>
      <w:r w:rsidR="008E5935">
        <w:rPr>
          <w:sz w:val="28"/>
          <w:szCs w:val="28"/>
        </w:rPr>
        <w:t>1 квартал</w:t>
      </w:r>
      <w:r w:rsidR="003560DD">
        <w:rPr>
          <w:sz w:val="28"/>
          <w:szCs w:val="28"/>
        </w:rPr>
        <w:t xml:space="preserve"> 202</w:t>
      </w:r>
      <w:r w:rsidR="005326C1">
        <w:rPr>
          <w:sz w:val="28"/>
          <w:szCs w:val="28"/>
        </w:rPr>
        <w:t>4</w:t>
      </w:r>
      <w:r w:rsidR="00407805">
        <w:rPr>
          <w:sz w:val="28"/>
          <w:szCs w:val="28"/>
        </w:rPr>
        <w:t xml:space="preserve"> года представлена в таблице:</w:t>
      </w:r>
    </w:p>
    <w:p w:rsidR="00650173" w:rsidRDefault="00BC21EF" w:rsidP="00484119">
      <w:pPr>
        <w:ind w:firstLine="720"/>
        <w:jc w:val="center"/>
        <w:rPr>
          <w:b/>
          <w:sz w:val="28"/>
          <w:szCs w:val="28"/>
        </w:rPr>
      </w:pPr>
      <w:r w:rsidRPr="00BC21EF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>б</w:t>
      </w:r>
      <w:r w:rsidR="00650173" w:rsidRPr="00BC16BC">
        <w:rPr>
          <w:b/>
          <w:sz w:val="28"/>
          <w:szCs w:val="28"/>
        </w:rPr>
        <w:t>езвозмездны</w:t>
      </w:r>
      <w:r>
        <w:rPr>
          <w:b/>
          <w:sz w:val="28"/>
          <w:szCs w:val="28"/>
        </w:rPr>
        <w:t>х поступлений</w:t>
      </w:r>
      <w:r w:rsidR="00650173" w:rsidRPr="00BC16BC">
        <w:rPr>
          <w:b/>
          <w:sz w:val="28"/>
          <w:szCs w:val="28"/>
        </w:rPr>
        <w:t xml:space="preserve"> за </w:t>
      </w:r>
      <w:r w:rsidR="00B6026E">
        <w:rPr>
          <w:b/>
          <w:sz w:val="28"/>
          <w:szCs w:val="28"/>
        </w:rPr>
        <w:t>1 квартал</w:t>
      </w:r>
      <w:r w:rsidR="00650173" w:rsidRPr="00BC16BC">
        <w:rPr>
          <w:b/>
          <w:sz w:val="28"/>
          <w:szCs w:val="28"/>
        </w:rPr>
        <w:t xml:space="preserve"> 202</w:t>
      </w:r>
      <w:r w:rsidR="005326C1">
        <w:rPr>
          <w:b/>
          <w:sz w:val="28"/>
          <w:szCs w:val="28"/>
        </w:rPr>
        <w:t>4</w:t>
      </w:r>
      <w:r w:rsidR="00650173" w:rsidRPr="00BC16BC">
        <w:rPr>
          <w:b/>
          <w:sz w:val="28"/>
          <w:szCs w:val="28"/>
        </w:rPr>
        <w:t xml:space="preserve"> года</w:t>
      </w:r>
    </w:p>
    <w:p w:rsidR="005326C1" w:rsidRPr="0063049D" w:rsidRDefault="0063049D" w:rsidP="0063049D">
      <w:pPr>
        <w:ind w:firstLine="720"/>
        <w:jc w:val="right"/>
        <w:rPr>
          <w:b/>
          <w:sz w:val="24"/>
          <w:szCs w:val="24"/>
        </w:rPr>
      </w:pPr>
      <w:r w:rsidRPr="0063049D">
        <w:rPr>
          <w:bCs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100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292"/>
        <w:gridCol w:w="1292"/>
        <w:gridCol w:w="1292"/>
        <w:gridCol w:w="1308"/>
        <w:gridCol w:w="1276"/>
      </w:tblGrid>
      <w:tr w:rsidR="0060410C" w:rsidRPr="00C60A06" w:rsidTr="0060410C">
        <w:trPr>
          <w:trHeight w:val="393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10C" w:rsidRPr="00C60A06" w:rsidRDefault="0060410C" w:rsidP="0060410C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0C" w:rsidRDefault="0060410C" w:rsidP="0060410C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Исполнено</w:t>
            </w:r>
          </w:p>
          <w:p w:rsidR="0060410C" w:rsidRDefault="0060410C" w:rsidP="0060410C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</w:t>
            </w:r>
          </w:p>
          <w:p w:rsidR="0060410C" w:rsidRPr="00C60A06" w:rsidRDefault="0060410C" w:rsidP="00DD7F8B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01.</w:t>
            </w:r>
            <w:r>
              <w:rPr>
                <w:b/>
                <w:bCs/>
              </w:rPr>
              <w:t>04.202</w:t>
            </w:r>
            <w:r w:rsidR="00DD7F8B">
              <w:rPr>
                <w:b/>
                <w:bCs/>
              </w:rPr>
              <w:t>3</w:t>
            </w:r>
            <w:r w:rsidRPr="00C60A06">
              <w:rPr>
                <w:b/>
                <w:bCs/>
              </w:rPr>
              <w:t>г.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0C" w:rsidRPr="00C60A06" w:rsidRDefault="0060410C" w:rsidP="0060410C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</w:t>
            </w:r>
            <w:r w:rsidRPr="00C60A06">
              <w:rPr>
                <w:b/>
                <w:bCs/>
              </w:rPr>
              <w:t>ено на 20</w:t>
            </w:r>
            <w:r>
              <w:rPr>
                <w:b/>
                <w:bCs/>
              </w:rPr>
              <w:t>2</w:t>
            </w:r>
            <w:r w:rsidR="00DD7F8B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</w:t>
            </w:r>
          </w:p>
          <w:p w:rsidR="0060410C" w:rsidRPr="00C60A06" w:rsidRDefault="0060410C" w:rsidP="0060410C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0C" w:rsidRPr="0060410C" w:rsidRDefault="0060410C" w:rsidP="00DD7F8B">
            <w:pPr>
              <w:ind w:left="-108" w:right="-55"/>
              <w:jc w:val="center"/>
              <w:rPr>
                <w:b/>
                <w:bCs/>
              </w:rPr>
            </w:pPr>
            <w:r w:rsidRPr="0060410C">
              <w:rPr>
                <w:b/>
                <w:bCs/>
              </w:rPr>
              <w:t>Исполнено на 01.04.202</w:t>
            </w:r>
            <w:r w:rsidR="00DD7F8B">
              <w:rPr>
                <w:b/>
                <w:bCs/>
              </w:rPr>
              <w:t>4</w:t>
            </w:r>
            <w:r w:rsidRPr="0060410C">
              <w:rPr>
                <w:b/>
                <w:bCs/>
              </w:rPr>
              <w:t>г.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0C" w:rsidRPr="00C60A06" w:rsidRDefault="0060410C" w:rsidP="0060410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0410C" w:rsidRPr="004002E5" w:rsidTr="00066B10">
        <w:trPr>
          <w:trHeight w:val="572"/>
        </w:trPr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0C" w:rsidRPr="004002E5" w:rsidRDefault="0060410C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0C" w:rsidRPr="004002E5" w:rsidRDefault="0060410C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0C" w:rsidRPr="004002E5" w:rsidRDefault="0060410C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0C" w:rsidRPr="004002E5" w:rsidRDefault="0060410C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10C" w:rsidRPr="004002E5" w:rsidRDefault="0060410C" w:rsidP="00604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  <w:r w:rsidRPr="004002E5">
              <w:rPr>
                <w:b/>
                <w:bCs/>
                <w:sz w:val="16"/>
                <w:szCs w:val="16"/>
              </w:rPr>
              <w:t xml:space="preserve"> утвержденным показателям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10C" w:rsidRPr="004002E5" w:rsidRDefault="0060410C" w:rsidP="00DD7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исполнению на 01.04</w:t>
            </w:r>
            <w:r w:rsidRPr="004002E5">
              <w:rPr>
                <w:b/>
                <w:bCs/>
                <w:sz w:val="16"/>
                <w:szCs w:val="16"/>
              </w:rPr>
              <w:t>.20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DD7F8B">
              <w:rPr>
                <w:b/>
                <w:bCs/>
                <w:sz w:val="16"/>
                <w:szCs w:val="16"/>
              </w:rPr>
              <w:t>3</w:t>
            </w:r>
            <w:r w:rsidRPr="004002E5"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60410C" w:rsidRPr="00C60A06" w:rsidTr="0060410C">
        <w:trPr>
          <w:trHeight w:val="1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C60A06" w:rsidRDefault="0060410C" w:rsidP="0060410C">
            <w:pPr>
              <w:jc w:val="both"/>
              <w:rPr>
                <w:b/>
                <w:bCs/>
              </w:rPr>
            </w:pPr>
            <w:r w:rsidRPr="00C60A0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DD7F8B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49980,1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DD7F8B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213936,8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DD7F8B" w:rsidP="0060410C">
            <w:pPr>
              <w:ind w:left="34" w:hanging="3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43495,2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DD7F8B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DD7F8B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87,0</w:t>
            </w:r>
          </w:p>
        </w:tc>
      </w:tr>
      <w:tr w:rsidR="0060410C" w:rsidRPr="002E36FF" w:rsidTr="0060410C">
        <w:trPr>
          <w:trHeight w:val="18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jc w:val="both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DD7F8B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348,2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DD7F8B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1201,4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DD7F8B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400,5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DD7F8B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72,0</w:t>
            </w:r>
          </w:p>
        </w:tc>
      </w:tr>
      <w:tr w:rsidR="0060410C" w:rsidRPr="002E36FF" w:rsidTr="0060410C">
        <w:trPr>
          <w:trHeight w:val="28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jc w:val="both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10287,6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26153,7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7409,8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72,0</w:t>
            </w:r>
          </w:p>
        </w:tc>
      </w:tr>
      <w:tr w:rsidR="0060410C" w:rsidRPr="002E36FF" w:rsidTr="0060410C">
        <w:trPr>
          <w:trHeight w:val="7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jc w:val="both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39269,3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186646,6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36472,2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92,9</w:t>
            </w:r>
          </w:p>
        </w:tc>
      </w:tr>
      <w:tr w:rsidR="0060410C" w:rsidRPr="002E36FF" w:rsidTr="0060410C">
        <w:trPr>
          <w:trHeight w:val="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ind w:right="-108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168,8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</w:tr>
      <w:tr w:rsidR="00DD7F8B" w:rsidRPr="002E36FF" w:rsidTr="0060410C">
        <w:trPr>
          <w:trHeight w:val="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8B" w:rsidRPr="00DD7F8B" w:rsidRDefault="00DD7F8B" w:rsidP="0060410C">
            <w:pPr>
              <w:ind w:right="-108"/>
              <w:rPr>
                <w:b/>
                <w:bCs/>
                <w:sz w:val="18"/>
                <w:szCs w:val="18"/>
              </w:rPr>
            </w:pPr>
            <w:r w:rsidRPr="00DD7F8B">
              <w:rPr>
                <w:b/>
                <w:bCs/>
                <w:sz w:val="18"/>
                <w:szCs w:val="18"/>
              </w:rPr>
              <w:t xml:space="preserve">Перечисления для осуществления возврата (зачета) излишне </w:t>
            </w:r>
            <w:proofErr w:type="gramStart"/>
            <w:r w:rsidRPr="00DD7F8B">
              <w:rPr>
                <w:b/>
                <w:bCs/>
                <w:sz w:val="18"/>
                <w:szCs w:val="18"/>
              </w:rPr>
              <w:t>уплаченных</w:t>
            </w:r>
            <w:proofErr w:type="gramEnd"/>
            <w:r w:rsidRPr="00DD7F8B">
              <w:rPr>
                <w:b/>
                <w:bCs/>
                <w:sz w:val="18"/>
                <w:szCs w:val="18"/>
              </w:rPr>
              <w:t>….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8B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8B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8B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8B" w:rsidRPr="00E525AA" w:rsidRDefault="00E525AA" w:rsidP="0060410C">
            <w:pPr>
              <w:jc w:val="center"/>
              <w:rPr>
                <w:b/>
                <w:bCs/>
                <w:szCs w:val="18"/>
              </w:rPr>
            </w:pPr>
            <w:r w:rsidRPr="00E525AA">
              <w:rPr>
                <w:b/>
                <w:bCs/>
                <w:szCs w:val="18"/>
              </w:rPr>
              <w:t>-89,7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F8B" w:rsidRPr="002E36FF" w:rsidRDefault="00E525AA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</w:tr>
      <w:tr w:rsidR="0060410C" w:rsidRPr="00C60A06" w:rsidTr="0060410C">
        <w:trPr>
          <w:trHeight w:val="83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0C" w:rsidRPr="00BC16BC" w:rsidRDefault="0060410C" w:rsidP="006041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E525AA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E525AA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E525AA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E525AA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-697,6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E525AA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</w:tbl>
    <w:p w:rsidR="00EB2E9B" w:rsidRDefault="00EB2E9B" w:rsidP="008C58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67C95" w:rsidRDefault="005A3DA1" w:rsidP="008C58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A67C95" w:rsidRPr="00E53037">
        <w:rPr>
          <w:sz w:val="28"/>
          <w:szCs w:val="28"/>
        </w:rPr>
        <w:t xml:space="preserve">озврат остатков субсидий, субвенций и иных межбюджетных трансфертов, имеющих </w:t>
      </w:r>
      <w:proofErr w:type="gramStart"/>
      <w:r>
        <w:rPr>
          <w:sz w:val="28"/>
          <w:szCs w:val="28"/>
        </w:rPr>
        <w:t>целевое</w:t>
      </w:r>
      <w:proofErr w:type="gramEnd"/>
      <w:r>
        <w:rPr>
          <w:sz w:val="28"/>
          <w:szCs w:val="28"/>
        </w:rPr>
        <w:t xml:space="preserve"> назначений прошлых лет составил</w:t>
      </w:r>
      <w:r w:rsidR="00A67C95" w:rsidRPr="00E53037">
        <w:rPr>
          <w:sz w:val="28"/>
          <w:szCs w:val="28"/>
        </w:rPr>
        <w:t xml:space="preserve"> </w:t>
      </w:r>
      <w:r w:rsidR="00E87F4E">
        <w:rPr>
          <w:sz w:val="28"/>
          <w:szCs w:val="28"/>
        </w:rPr>
        <w:t>697,6</w:t>
      </w:r>
      <w:r w:rsidR="00A67C95" w:rsidRPr="00E53037">
        <w:rPr>
          <w:sz w:val="28"/>
          <w:szCs w:val="28"/>
        </w:rPr>
        <w:t xml:space="preserve"> тыс. рублей. </w:t>
      </w:r>
    </w:p>
    <w:p w:rsidR="003560DD" w:rsidRDefault="003560DD" w:rsidP="008C58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909AE" w:rsidRDefault="006909AE" w:rsidP="006909AE">
      <w:pPr>
        <w:pStyle w:val="23"/>
        <w:numPr>
          <w:ilvl w:val="0"/>
          <w:numId w:val="11"/>
        </w:numPr>
        <w:spacing w:line="240" w:lineRule="auto"/>
        <w:ind w:left="0" w:firstLine="540"/>
        <w:rPr>
          <w:b/>
          <w:sz w:val="28"/>
          <w:szCs w:val="28"/>
        </w:rPr>
      </w:pPr>
      <w:r w:rsidRPr="006909AE">
        <w:rPr>
          <w:b/>
          <w:sz w:val="28"/>
          <w:szCs w:val="28"/>
        </w:rPr>
        <w:t xml:space="preserve">Анализ исполнения расходной части бюджета </w:t>
      </w:r>
      <w:proofErr w:type="spellStart"/>
      <w:r w:rsidRPr="006909AE">
        <w:rPr>
          <w:b/>
          <w:sz w:val="28"/>
          <w:szCs w:val="28"/>
        </w:rPr>
        <w:t>Коныш</w:t>
      </w:r>
      <w:r w:rsidR="00BC16BC">
        <w:rPr>
          <w:b/>
          <w:sz w:val="28"/>
          <w:szCs w:val="28"/>
        </w:rPr>
        <w:t>евского</w:t>
      </w:r>
      <w:proofErr w:type="spellEnd"/>
      <w:r w:rsidR="00BC16BC">
        <w:rPr>
          <w:b/>
          <w:sz w:val="28"/>
          <w:szCs w:val="28"/>
        </w:rPr>
        <w:t xml:space="preserve"> района Курской области</w:t>
      </w:r>
    </w:p>
    <w:p w:rsidR="006909AE" w:rsidRPr="006909AE" w:rsidRDefault="006909AE" w:rsidP="006909AE">
      <w:pPr>
        <w:pStyle w:val="23"/>
        <w:spacing w:line="240" w:lineRule="auto"/>
        <w:rPr>
          <w:b/>
          <w:sz w:val="28"/>
          <w:szCs w:val="28"/>
        </w:rPr>
      </w:pPr>
    </w:p>
    <w:p w:rsidR="006909AE" w:rsidRPr="00BC16BC" w:rsidRDefault="004E1CB8" w:rsidP="004E1CB8">
      <w:pPr>
        <w:pStyle w:val="23"/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909AE" w:rsidRPr="00BC16BC">
        <w:rPr>
          <w:b/>
          <w:sz w:val="28"/>
          <w:szCs w:val="28"/>
        </w:rPr>
        <w:t>3.1. Исполн</w:t>
      </w:r>
      <w:r w:rsidR="00BC16BC">
        <w:rPr>
          <w:b/>
          <w:sz w:val="28"/>
          <w:szCs w:val="28"/>
        </w:rPr>
        <w:t xml:space="preserve">ение расходов по разделам </w:t>
      </w:r>
      <w:r w:rsidR="00BA1082" w:rsidRPr="00BC16BC">
        <w:rPr>
          <w:b/>
          <w:sz w:val="28"/>
          <w:szCs w:val="28"/>
        </w:rPr>
        <w:t>бюджетной классификации</w:t>
      </w:r>
    </w:p>
    <w:p w:rsidR="00795D2C" w:rsidRPr="00E84607" w:rsidRDefault="00795D2C" w:rsidP="00795D2C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84607">
        <w:rPr>
          <w:color w:val="000000" w:themeColor="text1"/>
          <w:sz w:val="28"/>
          <w:szCs w:val="28"/>
        </w:rPr>
        <w:t xml:space="preserve">В соответствии с решением Представительного Собрания </w:t>
      </w:r>
      <w:proofErr w:type="spellStart"/>
      <w:r w:rsidR="009B0DDC"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="009B0DDC" w:rsidRPr="00E84607">
        <w:rPr>
          <w:color w:val="000000" w:themeColor="text1"/>
          <w:sz w:val="28"/>
          <w:szCs w:val="28"/>
        </w:rPr>
        <w:t xml:space="preserve"> района Курской области </w:t>
      </w:r>
      <w:r w:rsidRPr="00E84607">
        <w:rPr>
          <w:color w:val="000000" w:themeColor="text1"/>
          <w:sz w:val="28"/>
          <w:szCs w:val="28"/>
        </w:rPr>
        <w:t>от 2</w:t>
      </w:r>
      <w:r w:rsidR="00940FF3">
        <w:rPr>
          <w:color w:val="000000" w:themeColor="text1"/>
          <w:sz w:val="28"/>
          <w:szCs w:val="28"/>
        </w:rPr>
        <w:t>1</w:t>
      </w:r>
      <w:r w:rsidR="00E85806">
        <w:rPr>
          <w:color w:val="000000" w:themeColor="text1"/>
          <w:sz w:val="28"/>
          <w:szCs w:val="28"/>
        </w:rPr>
        <w:t>.12.202</w:t>
      </w:r>
      <w:r w:rsidR="00940FF3">
        <w:rPr>
          <w:color w:val="000000" w:themeColor="text1"/>
          <w:sz w:val="28"/>
          <w:szCs w:val="28"/>
        </w:rPr>
        <w:t>3</w:t>
      </w:r>
      <w:r w:rsidR="00E85806">
        <w:rPr>
          <w:color w:val="000000" w:themeColor="text1"/>
          <w:sz w:val="28"/>
          <w:szCs w:val="28"/>
        </w:rPr>
        <w:t xml:space="preserve"> №</w:t>
      </w:r>
      <w:r w:rsidR="00940FF3">
        <w:rPr>
          <w:color w:val="000000" w:themeColor="text1"/>
          <w:sz w:val="28"/>
          <w:szCs w:val="28"/>
        </w:rPr>
        <w:t>365</w:t>
      </w:r>
      <w:r w:rsidR="00CA2B9F">
        <w:rPr>
          <w:color w:val="000000" w:themeColor="text1"/>
          <w:sz w:val="28"/>
          <w:szCs w:val="28"/>
        </w:rPr>
        <w:t xml:space="preserve"> </w:t>
      </w:r>
      <w:r w:rsidRPr="00E8460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Pr="00E84607">
        <w:rPr>
          <w:color w:val="000000" w:themeColor="text1"/>
          <w:sz w:val="28"/>
          <w:szCs w:val="28"/>
        </w:rPr>
        <w:t xml:space="preserve"> района Курской области на 202</w:t>
      </w:r>
      <w:r w:rsidR="00940FF3">
        <w:rPr>
          <w:color w:val="000000" w:themeColor="text1"/>
          <w:sz w:val="28"/>
          <w:szCs w:val="28"/>
        </w:rPr>
        <w:t>4</w:t>
      </w:r>
      <w:r w:rsidRPr="00E846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940FF3">
        <w:rPr>
          <w:color w:val="000000" w:themeColor="text1"/>
          <w:sz w:val="28"/>
          <w:szCs w:val="28"/>
        </w:rPr>
        <w:t>5</w:t>
      </w:r>
      <w:r w:rsidRPr="00E84607">
        <w:rPr>
          <w:color w:val="000000" w:themeColor="text1"/>
          <w:sz w:val="28"/>
          <w:szCs w:val="28"/>
        </w:rPr>
        <w:t xml:space="preserve"> и 202</w:t>
      </w:r>
      <w:r w:rsidR="00940FF3">
        <w:rPr>
          <w:color w:val="000000" w:themeColor="text1"/>
          <w:sz w:val="28"/>
          <w:szCs w:val="28"/>
        </w:rPr>
        <w:t>6</w:t>
      </w:r>
      <w:r w:rsidR="00E85806">
        <w:rPr>
          <w:color w:val="000000" w:themeColor="text1"/>
          <w:sz w:val="28"/>
          <w:szCs w:val="28"/>
        </w:rPr>
        <w:t xml:space="preserve"> годов» (в редакции решения от </w:t>
      </w:r>
      <w:r w:rsidR="00940FF3">
        <w:rPr>
          <w:color w:val="000000" w:themeColor="text1"/>
          <w:sz w:val="28"/>
          <w:szCs w:val="28"/>
        </w:rPr>
        <w:t>26</w:t>
      </w:r>
      <w:r w:rsidRPr="00E84607">
        <w:rPr>
          <w:color w:val="000000" w:themeColor="text1"/>
          <w:sz w:val="28"/>
          <w:szCs w:val="28"/>
        </w:rPr>
        <w:t>.0</w:t>
      </w:r>
      <w:r w:rsidR="00CA2B9F">
        <w:rPr>
          <w:color w:val="000000" w:themeColor="text1"/>
          <w:sz w:val="28"/>
          <w:szCs w:val="28"/>
        </w:rPr>
        <w:t>2</w:t>
      </w:r>
      <w:r w:rsidR="005E1933">
        <w:rPr>
          <w:color w:val="000000" w:themeColor="text1"/>
          <w:sz w:val="28"/>
          <w:szCs w:val="28"/>
        </w:rPr>
        <w:t>.202</w:t>
      </w:r>
      <w:r w:rsidR="00940FF3">
        <w:rPr>
          <w:color w:val="000000" w:themeColor="text1"/>
          <w:sz w:val="28"/>
          <w:szCs w:val="28"/>
        </w:rPr>
        <w:t>4</w:t>
      </w:r>
      <w:r w:rsidR="00E85806">
        <w:rPr>
          <w:color w:val="000000" w:themeColor="text1"/>
          <w:sz w:val="28"/>
          <w:szCs w:val="28"/>
        </w:rPr>
        <w:t xml:space="preserve"> №</w:t>
      </w:r>
      <w:r w:rsidR="00940FF3">
        <w:rPr>
          <w:color w:val="000000" w:themeColor="text1"/>
          <w:sz w:val="28"/>
          <w:szCs w:val="28"/>
        </w:rPr>
        <w:t>382</w:t>
      </w:r>
      <w:r w:rsidRPr="00E84607">
        <w:rPr>
          <w:color w:val="000000" w:themeColor="text1"/>
          <w:sz w:val="28"/>
          <w:szCs w:val="28"/>
        </w:rPr>
        <w:t>) расход</w:t>
      </w:r>
      <w:r w:rsidR="00781AD2" w:rsidRPr="00E84607">
        <w:rPr>
          <w:color w:val="000000" w:themeColor="text1"/>
          <w:sz w:val="28"/>
          <w:szCs w:val="28"/>
        </w:rPr>
        <w:t>ы бюджета на 202</w:t>
      </w:r>
      <w:r w:rsidR="00940FF3">
        <w:rPr>
          <w:color w:val="000000" w:themeColor="text1"/>
          <w:sz w:val="28"/>
          <w:szCs w:val="28"/>
        </w:rPr>
        <w:t>4</w:t>
      </w:r>
      <w:r w:rsidR="00781AD2" w:rsidRPr="00E84607">
        <w:rPr>
          <w:color w:val="000000" w:themeColor="text1"/>
          <w:sz w:val="28"/>
          <w:szCs w:val="28"/>
        </w:rPr>
        <w:t xml:space="preserve"> год</w:t>
      </w:r>
      <w:r w:rsidR="00A4699C">
        <w:rPr>
          <w:color w:val="000000" w:themeColor="text1"/>
          <w:sz w:val="28"/>
          <w:szCs w:val="28"/>
        </w:rPr>
        <w:t xml:space="preserve"> утверждены </w:t>
      </w:r>
      <w:r w:rsidRPr="00E84607">
        <w:rPr>
          <w:color w:val="000000" w:themeColor="text1"/>
          <w:sz w:val="28"/>
          <w:szCs w:val="28"/>
        </w:rPr>
        <w:t xml:space="preserve">в сумме </w:t>
      </w:r>
      <w:r w:rsidR="00BA3D91">
        <w:rPr>
          <w:color w:val="000000" w:themeColor="text1"/>
          <w:sz w:val="28"/>
          <w:szCs w:val="28"/>
        </w:rPr>
        <w:t>447798,0</w:t>
      </w:r>
      <w:r w:rsidR="00E85806" w:rsidRPr="00E85806">
        <w:rPr>
          <w:color w:val="000000" w:themeColor="text1"/>
          <w:sz w:val="28"/>
          <w:szCs w:val="28"/>
        </w:rPr>
        <w:t xml:space="preserve"> </w:t>
      </w:r>
      <w:r w:rsidRPr="00E84607">
        <w:rPr>
          <w:color w:val="000000" w:themeColor="text1"/>
          <w:sz w:val="28"/>
          <w:szCs w:val="28"/>
        </w:rPr>
        <w:t>тыс. рублей.</w:t>
      </w:r>
    </w:p>
    <w:p w:rsidR="008A394B" w:rsidRDefault="00120DEE" w:rsidP="00120DEE">
      <w:pPr>
        <w:pStyle w:val="23"/>
        <w:spacing w:line="240" w:lineRule="auto"/>
        <w:ind w:firstLine="540"/>
        <w:rPr>
          <w:sz w:val="28"/>
          <w:szCs w:val="28"/>
        </w:rPr>
      </w:pPr>
      <w:r w:rsidRPr="00120DEE">
        <w:rPr>
          <w:sz w:val="28"/>
          <w:szCs w:val="28"/>
        </w:rPr>
        <w:t>Согласно сводной бюджетной росписи на 01.</w:t>
      </w:r>
      <w:r w:rsidR="00E85806">
        <w:rPr>
          <w:sz w:val="28"/>
          <w:szCs w:val="28"/>
        </w:rPr>
        <w:t>04</w:t>
      </w:r>
      <w:r w:rsidRPr="00120DEE">
        <w:rPr>
          <w:sz w:val="28"/>
          <w:szCs w:val="28"/>
        </w:rPr>
        <w:t>.202</w:t>
      </w:r>
      <w:r w:rsidR="00454AB9">
        <w:rPr>
          <w:sz w:val="28"/>
          <w:szCs w:val="28"/>
        </w:rPr>
        <w:t>4</w:t>
      </w:r>
      <w:r w:rsidR="00F11AE2">
        <w:rPr>
          <w:sz w:val="28"/>
          <w:szCs w:val="28"/>
        </w:rPr>
        <w:t xml:space="preserve"> </w:t>
      </w:r>
      <w:r w:rsidRPr="00120DEE">
        <w:rPr>
          <w:sz w:val="28"/>
          <w:szCs w:val="28"/>
        </w:rPr>
        <w:t xml:space="preserve">года объем расходов бюджета </w:t>
      </w:r>
      <w:proofErr w:type="spellStart"/>
      <w:r w:rsidRPr="00120DEE">
        <w:rPr>
          <w:sz w:val="28"/>
          <w:szCs w:val="28"/>
        </w:rPr>
        <w:t>Конышевского</w:t>
      </w:r>
      <w:proofErr w:type="spellEnd"/>
      <w:r w:rsidRPr="00120DEE">
        <w:rPr>
          <w:sz w:val="28"/>
          <w:szCs w:val="28"/>
        </w:rPr>
        <w:t xml:space="preserve"> района Курской области на 202</w:t>
      </w:r>
      <w:r w:rsidR="00454AB9">
        <w:rPr>
          <w:sz w:val="28"/>
          <w:szCs w:val="28"/>
        </w:rPr>
        <w:t>4</w:t>
      </w:r>
      <w:r w:rsidRPr="00120DEE">
        <w:rPr>
          <w:sz w:val="28"/>
          <w:szCs w:val="28"/>
        </w:rPr>
        <w:t xml:space="preserve"> год </w:t>
      </w:r>
      <w:r w:rsidR="00F11AE2">
        <w:rPr>
          <w:sz w:val="28"/>
          <w:szCs w:val="28"/>
        </w:rPr>
        <w:t>составляет</w:t>
      </w:r>
      <w:r w:rsidRPr="00120DEE">
        <w:rPr>
          <w:sz w:val="28"/>
          <w:szCs w:val="28"/>
        </w:rPr>
        <w:t xml:space="preserve"> </w:t>
      </w:r>
      <w:r w:rsidR="00454AB9">
        <w:rPr>
          <w:sz w:val="28"/>
          <w:szCs w:val="28"/>
        </w:rPr>
        <w:t>463714,2</w:t>
      </w:r>
      <w:r w:rsidRPr="00120DEE">
        <w:rPr>
          <w:sz w:val="28"/>
          <w:szCs w:val="28"/>
        </w:rPr>
        <w:t xml:space="preserve"> тыс. рублей с увеличением бюджетных ассигнований, утвержденных решением о бюджете на </w:t>
      </w:r>
      <w:r w:rsidR="00454AB9">
        <w:rPr>
          <w:sz w:val="28"/>
          <w:szCs w:val="28"/>
        </w:rPr>
        <w:t>15916,2</w:t>
      </w:r>
      <w:r w:rsidRPr="00120DEE">
        <w:rPr>
          <w:sz w:val="28"/>
          <w:szCs w:val="28"/>
        </w:rPr>
        <w:t xml:space="preserve"> тыс. рублей.</w:t>
      </w:r>
    </w:p>
    <w:p w:rsidR="00D1195C" w:rsidRPr="00FC12AB" w:rsidRDefault="00D1195C" w:rsidP="00120DEE">
      <w:pPr>
        <w:pStyle w:val="23"/>
        <w:spacing w:line="240" w:lineRule="auto"/>
        <w:ind w:firstLine="540"/>
        <w:rPr>
          <w:sz w:val="28"/>
          <w:szCs w:val="28"/>
        </w:rPr>
      </w:pPr>
      <w:proofErr w:type="gramStart"/>
      <w:r w:rsidRPr="00FC12AB">
        <w:rPr>
          <w:sz w:val="28"/>
          <w:szCs w:val="28"/>
        </w:rPr>
        <w:t>Расходы в сводной бюджетной росписи на 01.</w:t>
      </w:r>
      <w:r w:rsidR="00E85806" w:rsidRPr="00FC12AB">
        <w:rPr>
          <w:sz w:val="28"/>
          <w:szCs w:val="28"/>
        </w:rPr>
        <w:t>04.202</w:t>
      </w:r>
      <w:r w:rsidR="00F01E61" w:rsidRPr="00FC12AB">
        <w:rPr>
          <w:sz w:val="28"/>
          <w:szCs w:val="28"/>
        </w:rPr>
        <w:t>2</w:t>
      </w:r>
      <w:r w:rsidR="00E85806" w:rsidRPr="00FC12AB">
        <w:rPr>
          <w:sz w:val="28"/>
          <w:szCs w:val="28"/>
        </w:rPr>
        <w:t xml:space="preserve"> </w:t>
      </w:r>
      <w:r w:rsidRPr="00FC12AB">
        <w:rPr>
          <w:sz w:val="28"/>
          <w:szCs w:val="28"/>
        </w:rPr>
        <w:t>года увеличены на сумму безвозмездных поступлений от других бюджетов бюджетной системы РФ (</w:t>
      </w:r>
      <w:r w:rsidR="00354F07">
        <w:rPr>
          <w:sz w:val="28"/>
          <w:szCs w:val="28"/>
        </w:rPr>
        <w:t>15916,2</w:t>
      </w:r>
      <w:r w:rsidRPr="00FC12AB">
        <w:rPr>
          <w:sz w:val="28"/>
          <w:szCs w:val="28"/>
        </w:rPr>
        <w:t xml:space="preserve"> тыс. рублей), что не противоречит пункту 3 статьи </w:t>
      </w:r>
      <w:r w:rsidR="009F6B2E" w:rsidRPr="00FC12AB">
        <w:rPr>
          <w:sz w:val="28"/>
          <w:szCs w:val="28"/>
        </w:rPr>
        <w:t xml:space="preserve">217 </w:t>
      </w:r>
      <w:r w:rsidRPr="00FC12AB">
        <w:rPr>
          <w:sz w:val="28"/>
          <w:szCs w:val="28"/>
        </w:rPr>
        <w:t>Бюджетного кодекса Российской Федерации, устанавливающем</w:t>
      </w:r>
      <w:r w:rsidR="000666E1" w:rsidRPr="00FC12AB">
        <w:rPr>
          <w:sz w:val="28"/>
          <w:szCs w:val="28"/>
        </w:rPr>
        <w:t xml:space="preserve"> случаи внесения изменений в сводную бюджетную роспись в соответствии с решением руководителя финансового органа без внесения изменений в решение о бюджете.</w:t>
      </w:r>
      <w:proofErr w:type="gramEnd"/>
    </w:p>
    <w:p w:rsidR="008C581A" w:rsidRPr="002E151C" w:rsidRDefault="00C12742" w:rsidP="00120DEE">
      <w:pPr>
        <w:pStyle w:val="23"/>
        <w:spacing w:line="240" w:lineRule="auto"/>
        <w:ind w:firstLine="540"/>
        <w:rPr>
          <w:sz w:val="28"/>
          <w:szCs w:val="28"/>
        </w:rPr>
      </w:pPr>
      <w:r w:rsidRPr="002E151C">
        <w:rPr>
          <w:sz w:val="28"/>
          <w:szCs w:val="28"/>
        </w:rPr>
        <w:t xml:space="preserve">Фактически за </w:t>
      </w:r>
      <w:r w:rsidR="00E85806">
        <w:rPr>
          <w:sz w:val="28"/>
          <w:szCs w:val="28"/>
        </w:rPr>
        <w:t>1 квартал</w:t>
      </w:r>
      <w:r w:rsidR="008C581A" w:rsidRPr="002E151C">
        <w:rPr>
          <w:sz w:val="28"/>
          <w:szCs w:val="28"/>
        </w:rPr>
        <w:t xml:space="preserve"> 202</w:t>
      </w:r>
      <w:r w:rsidR="00FB72D7">
        <w:rPr>
          <w:sz w:val="28"/>
          <w:szCs w:val="28"/>
        </w:rPr>
        <w:t>4</w:t>
      </w:r>
      <w:r w:rsidR="008C581A" w:rsidRPr="002E151C">
        <w:rPr>
          <w:sz w:val="28"/>
          <w:szCs w:val="28"/>
        </w:rPr>
        <w:t xml:space="preserve"> года расходная ч</w:t>
      </w:r>
      <w:r w:rsidR="00120DEE" w:rsidRPr="002E151C">
        <w:rPr>
          <w:sz w:val="28"/>
          <w:szCs w:val="28"/>
        </w:rPr>
        <w:t xml:space="preserve">асть бюджета </w:t>
      </w:r>
      <w:proofErr w:type="spellStart"/>
      <w:r w:rsidR="009F6B2E">
        <w:rPr>
          <w:sz w:val="28"/>
          <w:szCs w:val="28"/>
        </w:rPr>
        <w:t>Конышевского</w:t>
      </w:r>
      <w:proofErr w:type="spellEnd"/>
      <w:r w:rsidR="009F6B2E">
        <w:rPr>
          <w:sz w:val="28"/>
          <w:szCs w:val="28"/>
        </w:rPr>
        <w:t xml:space="preserve"> района Курской области </w:t>
      </w:r>
      <w:r w:rsidR="00120DEE" w:rsidRPr="002E151C">
        <w:rPr>
          <w:sz w:val="28"/>
          <w:szCs w:val="28"/>
        </w:rPr>
        <w:t xml:space="preserve">исполнена в сумме </w:t>
      </w:r>
      <w:r w:rsidR="00FB72D7">
        <w:rPr>
          <w:sz w:val="28"/>
          <w:szCs w:val="28"/>
        </w:rPr>
        <w:t>68954,0</w:t>
      </w:r>
      <w:r w:rsidR="00120DEE" w:rsidRPr="002E151C">
        <w:rPr>
          <w:sz w:val="28"/>
          <w:szCs w:val="28"/>
        </w:rPr>
        <w:t xml:space="preserve"> тыс. рублей или на </w:t>
      </w:r>
      <w:r w:rsidR="00BB51C3">
        <w:rPr>
          <w:sz w:val="28"/>
          <w:szCs w:val="28"/>
        </w:rPr>
        <w:t>15,4</w:t>
      </w:r>
      <w:r w:rsidR="008C581A" w:rsidRPr="002E151C">
        <w:rPr>
          <w:sz w:val="28"/>
          <w:szCs w:val="28"/>
        </w:rPr>
        <w:t>% к утвержденным</w:t>
      </w:r>
      <w:r w:rsidR="00120DEE" w:rsidRPr="002E151C">
        <w:rPr>
          <w:sz w:val="28"/>
          <w:szCs w:val="28"/>
        </w:rPr>
        <w:t xml:space="preserve"> годовым назначения</w:t>
      </w:r>
      <w:r w:rsidR="000C7413">
        <w:rPr>
          <w:sz w:val="28"/>
          <w:szCs w:val="28"/>
        </w:rPr>
        <w:t>м</w:t>
      </w:r>
      <w:r w:rsidR="00120DEE" w:rsidRPr="002E151C">
        <w:rPr>
          <w:sz w:val="28"/>
          <w:szCs w:val="28"/>
        </w:rPr>
        <w:t xml:space="preserve"> и на </w:t>
      </w:r>
      <w:r w:rsidR="00BB51C3">
        <w:rPr>
          <w:sz w:val="28"/>
          <w:szCs w:val="28"/>
        </w:rPr>
        <w:t>14,9</w:t>
      </w:r>
      <w:r w:rsidR="00120DEE" w:rsidRPr="002E151C">
        <w:rPr>
          <w:sz w:val="28"/>
          <w:szCs w:val="28"/>
        </w:rPr>
        <w:t>% к уточненным бюджетным ассигнованиям сводной бюджетной росписи.</w:t>
      </w:r>
      <w:r w:rsidR="00A4699C" w:rsidRPr="002E151C">
        <w:rPr>
          <w:sz w:val="28"/>
          <w:szCs w:val="28"/>
        </w:rPr>
        <w:t xml:space="preserve"> По сравнению с аналогичным периодом</w:t>
      </w:r>
      <w:r w:rsidR="00273084" w:rsidRPr="002E151C">
        <w:rPr>
          <w:sz w:val="28"/>
          <w:szCs w:val="28"/>
        </w:rPr>
        <w:t xml:space="preserve"> </w:t>
      </w:r>
      <w:r w:rsidR="004C1316">
        <w:rPr>
          <w:sz w:val="28"/>
          <w:szCs w:val="28"/>
        </w:rPr>
        <w:t>202</w:t>
      </w:r>
      <w:r w:rsidR="00BB51C3">
        <w:rPr>
          <w:sz w:val="28"/>
          <w:szCs w:val="28"/>
        </w:rPr>
        <w:t>3</w:t>
      </w:r>
      <w:r w:rsidRPr="002E151C">
        <w:rPr>
          <w:sz w:val="28"/>
          <w:szCs w:val="28"/>
        </w:rPr>
        <w:t xml:space="preserve"> года за </w:t>
      </w:r>
      <w:r w:rsidR="00E85806">
        <w:rPr>
          <w:sz w:val="28"/>
          <w:szCs w:val="28"/>
        </w:rPr>
        <w:t>1 квартал</w:t>
      </w:r>
      <w:r w:rsidRPr="002E151C">
        <w:rPr>
          <w:sz w:val="28"/>
          <w:szCs w:val="28"/>
        </w:rPr>
        <w:t xml:space="preserve"> </w:t>
      </w:r>
      <w:r w:rsidR="00A4699C" w:rsidRPr="002E151C">
        <w:rPr>
          <w:sz w:val="28"/>
          <w:szCs w:val="28"/>
        </w:rPr>
        <w:t>202</w:t>
      </w:r>
      <w:r w:rsidR="00BB51C3">
        <w:rPr>
          <w:sz w:val="28"/>
          <w:szCs w:val="28"/>
        </w:rPr>
        <w:t>4</w:t>
      </w:r>
      <w:r w:rsidR="00A4699C" w:rsidRPr="002E151C">
        <w:rPr>
          <w:sz w:val="28"/>
          <w:szCs w:val="28"/>
        </w:rPr>
        <w:t xml:space="preserve"> года наблюдается рост расходов </w:t>
      </w:r>
      <w:r w:rsidR="00AE0598">
        <w:rPr>
          <w:sz w:val="28"/>
          <w:szCs w:val="28"/>
        </w:rPr>
        <w:t xml:space="preserve">на </w:t>
      </w:r>
      <w:r w:rsidR="00BB51C3">
        <w:rPr>
          <w:sz w:val="28"/>
          <w:szCs w:val="28"/>
        </w:rPr>
        <w:t>36314,4</w:t>
      </w:r>
      <w:r w:rsidR="00AE0598">
        <w:rPr>
          <w:sz w:val="28"/>
          <w:szCs w:val="28"/>
        </w:rPr>
        <w:t xml:space="preserve"> тыс. рублей или </w:t>
      </w:r>
      <w:r w:rsidR="00A4699C" w:rsidRPr="00AE0598">
        <w:rPr>
          <w:sz w:val="28"/>
          <w:szCs w:val="28"/>
        </w:rPr>
        <w:t xml:space="preserve">на </w:t>
      </w:r>
      <w:r w:rsidR="00BB51C3">
        <w:rPr>
          <w:sz w:val="28"/>
          <w:szCs w:val="28"/>
        </w:rPr>
        <w:t>111,3</w:t>
      </w:r>
      <w:r w:rsidR="00A4699C" w:rsidRPr="00AE0598">
        <w:rPr>
          <w:sz w:val="28"/>
          <w:szCs w:val="28"/>
        </w:rPr>
        <w:t>%</w:t>
      </w:r>
      <w:r w:rsidR="00AE0598">
        <w:rPr>
          <w:sz w:val="28"/>
          <w:szCs w:val="28"/>
        </w:rPr>
        <w:t>.</w:t>
      </w:r>
    </w:p>
    <w:p w:rsidR="00F11AE2" w:rsidRDefault="00F11AE2" w:rsidP="00120DEE">
      <w:pPr>
        <w:pStyle w:val="23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расходной части бюджета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E85806">
        <w:rPr>
          <w:sz w:val="28"/>
          <w:szCs w:val="28"/>
        </w:rPr>
        <w:t>1 квартал 202</w:t>
      </w:r>
      <w:r w:rsidR="00D932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представлено в таблице</w:t>
      </w:r>
      <w:r w:rsidR="00407805">
        <w:rPr>
          <w:sz w:val="28"/>
          <w:szCs w:val="28"/>
        </w:rPr>
        <w:t>:</w:t>
      </w:r>
    </w:p>
    <w:p w:rsidR="00407805" w:rsidRDefault="00407805" w:rsidP="009B0DDC">
      <w:pPr>
        <w:pStyle w:val="23"/>
        <w:spacing w:line="240" w:lineRule="auto"/>
        <w:ind w:firstLine="540"/>
        <w:jc w:val="center"/>
        <w:rPr>
          <w:b/>
          <w:sz w:val="28"/>
          <w:szCs w:val="28"/>
        </w:rPr>
      </w:pPr>
    </w:p>
    <w:p w:rsidR="00F27CBD" w:rsidRDefault="009B0DDC" w:rsidP="009B0DDC">
      <w:pPr>
        <w:pStyle w:val="23"/>
        <w:spacing w:line="240" w:lineRule="auto"/>
        <w:ind w:firstLine="540"/>
        <w:jc w:val="center"/>
        <w:rPr>
          <w:b/>
          <w:sz w:val="28"/>
          <w:szCs w:val="28"/>
        </w:rPr>
      </w:pPr>
      <w:r w:rsidRPr="009B0DDC">
        <w:rPr>
          <w:b/>
          <w:sz w:val="28"/>
          <w:szCs w:val="28"/>
        </w:rPr>
        <w:t xml:space="preserve">Исполнение расходной части бюджета </w:t>
      </w:r>
      <w:proofErr w:type="spellStart"/>
      <w:r w:rsidRPr="009B0DDC">
        <w:rPr>
          <w:b/>
          <w:sz w:val="28"/>
          <w:szCs w:val="28"/>
        </w:rPr>
        <w:t>Конышевского</w:t>
      </w:r>
      <w:proofErr w:type="spellEnd"/>
      <w:r w:rsidRPr="009B0DDC">
        <w:rPr>
          <w:b/>
          <w:sz w:val="28"/>
          <w:szCs w:val="28"/>
        </w:rPr>
        <w:t xml:space="preserve"> района Курской области за </w:t>
      </w:r>
      <w:r w:rsidR="00E85806">
        <w:rPr>
          <w:b/>
          <w:sz w:val="28"/>
          <w:szCs w:val="28"/>
        </w:rPr>
        <w:t>1 квартал</w:t>
      </w:r>
      <w:r w:rsidRPr="009B0DD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93230">
        <w:rPr>
          <w:b/>
          <w:sz w:val="28"/>
          <w:szCs w:val="28"/>
        </w:rPr>
        <w:t>4</w:t>
      </w:r>
      <w:r w:rsidR="00BC16BC">
        <w:rPr>
          <w:b/>
          <w:sz w:val="28"/>
          <w:szCs w:val="28"/>
        </w:rPr>
        <w:t xml:space="preserve"> года</w:t>
      </w:r>
    </w:p>
    <w:p w:rsidR="006D5325" w:rsidRPr="00F27CBD" w:rsidRDefault="00F27CBD" w:rsidP="00F27CBD">
      <w:pPr>
        <w:pStyle w:val="23"/>
        <w:spacing w:line="240" w:lineRule="auto"/>
        <w:ind w:firstLine="540"/>
        <w:jc w:val="right"/>
        <w:rPr>
          <w:b/>
          <w:szCs w:val="24"/>
        </w:rPr>
      </w:pPr>
      <w:r w:rsidRPr="00F27CBD">
        <w:rPr>
          <w:szCs w:val="24"/>
        </w:rPr>
        <w:t>(тыс. руб.)</w:t>
      </w:r>
    </w:p>
    <w:tbl>
      <w:tblPr>
        <w:tblW w:w="1007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425"/>
        <w:gridCol w:w="992"/>
        <w:gridCol w:w="1276"/>
        <w:gridCol w:w="992"/>
        <w:gridCol w:w="1134"/>
        <w:gridCol w:w="1134"/>
        <w:gridCol w:w="992"/>
      </w:tblGrid>
      <w:tr w:rsidR="00F01E61" w:rsidRPr="00BC16BC" w:rsidTr="00F01E61">
        <w:trPr>
          <w:trHeight w:val="393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6D53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BC16BC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E61" w:rsidRPr="00BC16BC" w:rsidRDefault="00F01E61" w:rsidP="00D932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на 01.04</w:t>
            </w:r>
            <w:r w:rsidRPr="00BC16BC">
              <w:rPr>
                <w:b/>
                <w:sz w:val="18"/>
                <w:szCs w:val="18"/>
              </w:rPr>
              <w:t>.202</w:t>
            </w:r>
            <w:r w:rsidR="00D93230">
              <w:rPr>
                <w:b/>
                <w:sz w:val="18"/>
                <w:szCs w:val="18"/>
              </w:rPr>
              <w:t>3</w:t>
            </w:r>
            <w:r w:rsidRPr="00BC16BC">
              <w:rPr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E61" w:rsidRDefault="00F01E61" w:rsidP="00D5575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Утверждено </w:t>
            </w:r>
          </w:p>
          <w:p w:rsidR="009113C9" w:rsidRDefault="00F01E61" w:rsidP="00D5575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</w:t>
            </w:r>
            <w:r w:rsidR="00D9323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  <w:p w:rsidR="00F01E61" w:rsidRDefault="00F01E61" w:rsidP="00D5575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13C9">
              <w:rPr>
                <w:b/>
                <w:sz w:val="18"/>
                <w:szCs w:val="18"/>
              </w:rPr>
              <w:t>(с учетом изменений)</w:t>
            </w:r>
          </w:p>
          <w:p w:rsidR="00F01E61" w:rsidRPr="00BC16BC" w:rsidRDefault="00F01E61" w:rsidP="00D5575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D932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на 01.04.202</w:t>
            </w:r>
            <w:r w:rsidR="00D9323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 xml:space="preserve">% исполнения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E61" w:rsidRPr="00BC16BC" w:rsidRDefault="00F01E61" w:rsidP="00D932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>Удельный вес в общем объеме расходов бюд</w:t>
            </w:r>
            <w:r>
              <w:rPr>
                <w:b/>
                <w:sz w:val="18"/>
                <w:szCs w:val="18"/>
              </w:rPr>
              <w:t>жета на 01.04.</w:t>
            </w:r>
            <w:r w:rsidRPr="00BC16BC">
              <w:rPr>
                <w:b/>
                <w:sz w:val="18"/>
                <w:szCs w:val="18"/>
              </w:rPr>
              <w:t>202</w:t>
            </w:r>
            <w:r w:rsidR="00D9323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г.</w:t>
            </w:r>
          </w:p>
        </w:tc>
      </w:tr>
      <w:tr w:rsidR="00F01E61" w:rsidRPr="00BC16BC" w:rsidTr="00F01E61">
        <w:trPr>
          <w:trHeight w:val="86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D5575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D5575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 xml:space="preserve">к </w:t>
            </w:r>
          </w:p>
          <w:p w:rsidR="00F01E61" w:rsidRPr="00BC16BC" w:rsidRDefault="00F01E61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C16BC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BC16BC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BC16BC">
              <w:rPr>
                <w:b/>
                <w:sz w:val="18"/>
                <w:szCs w:val="18"/>
              </w:rPr>
              <w:t xml:space="preserve"> назначениям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61" w:rsidRPr="00BC16BC" w:rsidRDefault="00F01E61" w:rsidP="00D932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 исполнению на 01.04.202</w:t>
            </w:r>
            <w:r w:rsidR="00D93230">
              <w:rPr>
                <w:b/>
                <w:bCs/>
                <w:sz w:val="18"/>
                <w:szCs w:val="18"/>
              </w:rPr>
              <w:t>3</w:t>
            </w:r>
            <w:r w:rsidRPr="00BC16BC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1E61" w:rsidRPr="00BC16BC" w:rsidTr="00F01E61">
        <w:trPr>
          <w:trHeight w:val="8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A34C46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BC16BC">
              <w:rPr>
                <w:b/>
                <w:bCs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bCs/>
              </w:rPr>
            </w:pPr>
            <w:r w:rsidRPr="00BC16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1860F8" w:rsidRDefault="009113C9" w:rsidP="00D5575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1860F8" w:rsidRDefault="00887A17" w:rsidP="00D5575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463714,2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1860F8" w:rsidRDefault="00887A17" w:rsidP="001E46F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1860F8" w:rsidRDefault="00887A17" w:rsidP="001E46F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1860F8" w:rsidRDefault="00887A17" w:rsidP="00C27AC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1860F8" w:rsidRDefault="00887A17" w:rsidP="001E46F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F01E61" w:rsidRPr="00BC16BC" w:rsidTr="00F01E61">
        <w:trPr>
          <w:trHeight w:val="4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108"/>
              <w:rPr>
                <w:bCs/>
              </w:rPr>
            </w:pPr>
            <w:r w:rsidRPr="00BC16BC">
              <w:rPr>
                <w:bCs/>
              </w:rPr>
              <w:t xml:space="preserve">  Общегосударственные   </w:t>
            </w:r>
          </w:p>
          <w:p w:rsidR="00F01E61" w:rsidRPr="00BC16BC" w:rsidRDefault="00F01E61" w:rsidP="001E46FB">
            <w:pPr>
              <w:ind w:left="-108" w:right="-108"/>
              <w:rPr>
                <w:bCs/>
              </w:rPr>
            </w:pPr>
            <w:r w:rsidRPr="00BC16BC">
              <w:rPr>
                <w:bCs/>
              </w:rPr>
              <w:t xml:space="preserve"> 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108"/>
              <w:jc w:val="center"/>
              <w:rPr>
                <w:bCs/>
              </w:rPr>
            </w:pPr>
            <w:r w:rsidRPr="00BC16BC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1860F8" w:rsidRDefault="00887A17" w:rsidP="00D55757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10736,6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1860F8" w:rsidRDefault="00887A17" w:rsidP="00D55757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99663,0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1860F8" w:rsidRDefault="00887A17" w:rsidP="001E46F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11322,7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1860F8" w:rsidRDefault="00887A17" w:rsidP="001E46F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1860F8" w:rsidRDefault="00887A17" w:rsidP="001860F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1860F8" w:rsidRDefault="00887A17" w:rsidP="000B3EE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F01E61" w:rsidRPr="00BC16BC" w:rsidTr="00F01E61">
        <w:trPr>
          <w:trHeight w:val="33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1E46FB">
            <w:pPr>
              <w:jc w:val="both"/>
              <w:rPr>
                <w:bCs/>
              </w:rPr>
            </w:pPr>
            <w:r w:rsidRPr="00BC16BC">
              <w:rPr>
                <w:bCs/>
              </w:rPr>
              <w:t xml:space="preserve">Национальная безопасность и правоохранительная </w:t>
            </w:r>
            <w:r w:rsidRPr="00BC16BC">
              <w:rPr>
                <w:bCs/>
              </w:rPr>
              <w:lastRenderedPageBreak/>
              <w:t>деятельность</w:t>
            </w:r>
            <w:r w:rsidRPr="00BC16BC">
              <w:rPr>
                <w:bCs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1E46FB">
            <w:pPr>
              <w:jc w:val="center"/>
              <w:rPr>
                <w:bCs/>
                <w:sz w:val="18"/>
                <w:szCs w:val="18"/>
              </w:rPr>
            </w:pPr>
            <w:r w:rsidRPr="00BC16BC">
              <w:rPr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1397,8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C05D3F">
            <w:pPr>
              <w:jc w:val="center"/>
              <w:rPr>
                <w:bCs/>
              </w:rPr>
            </w:pPr>
            <w:r>
              <w:rPr>
                <w:bCs/>
              </w:rPr>
              <w:t>232,7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4C1316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F01E61" w:rsidRPr="00BC16BC" w:rsidTr="00F01E61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both"/>
              <w:rPr>
                <w:bCs/>
              </w:rPr>
            </w:pPr>
            <w:r w:rsidRPr="00BC16BC">
              <w:rPr>
                <w:bCs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center"/>
              <w:rPr>
                <w:bCs/>
                <w:sz w:val="18"/>
                <w:szCs w:val="18"/>
              </w:rPr>
            </w:pPr>
            <w:r w:rsidRPr="00BC16B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15596,2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887A17" w:rsidP="00E84BB0">
            <w:pPr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887A17" w:rsidRDefault="00887A17" w:rsidP="00C05D3F">
            <w:pPr>
              <w:jc w:val="center"/>
              <w:rPr>
                <w:bCs/>
                <w:sz w:val="16"/>
                <w:szCs w:val="16"/>
              </w:rPr>
            </w:pPr>
            <w:r w:rsidRPr="00887A17">
              <w:rPr>
                <w:bCs/>
                <w:sz w:val="16"/>
                <w:szCs w:val="16"/>
              </w:rPr>
              <w:t>Больше 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116C7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F01E61" w:rsidRPr="00BC16BC" w:rsidTr="00F01E61">
        <w:trPr>
          <w:trHeight w:val="32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both"/>
              <w:rPr>
                <w:bCs/>
              </w:rPr>
            </w:pPr>
            <w:r w:rsidRPr="00BC16BC">
              <w:rPr>
                <w:b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center"/>
              <w:rPr>
                <w:bCs/>
                <w:sz w:val="18"/>
                <w:szCs w:val="18"/>
              </w:rPr>
            </w:pPr>
            <w:r w:rsidRPr="00BC16B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8559,6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3821,7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860F8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0B3EEF">
            <w:pPr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F01E61" w:rsidRPr="00BC16BC" w:rsidTr="00F01E61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both"/>
              <w:rPr>
                <w:bCs/>
              </w:rPr>
            </w:pPr>
            <w:r w:rsidRPr="00BC16BC">
              <w:rPr>
                <w:bCs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center"/>
              <w:rPr>
                <w:bCs/>
              </w:rPr>
            </w:pPr>
            <w:r w:rsidRPr="00BC16BC">
              <w:rPr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42559,0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216873,5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040D22">
            <w:pPr>
              <w:ind w:left="-107" w:right="-109"/>
              <w:jc w:val="center"/>
              <w:rPr>
                <w:bCs/>
              </w:rPr>
            </w:pPr>
            <w:r>
              <w:rPr>
                <w:bCs/>
              </w:rPr>
              <w:t>44948,0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C05D3F">
            <w:pPr>
              <w:jc w:val="center"/>
              <w:rPr>
                <w:bCs/>
              </w:rPr>
            </w:pPr>
            <w:r>
              <w:rPr>
                <w:bCs/>
              </w:rPr>
              <w:t>105,6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116C7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F01E61" w:rsidRPr="00BC16BC" w:rsidTr="00F01E61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both"/>
              <w:rPr>
                <w:bCs/>
              </w:rPr>
            </w:pPr>
            <w:r w:rsidRPr="00BC16BC">
              <w:rPr>
                <w:bCs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center"/>
              <w:rPr>
                <w:bCs/>
              </w:rPr>
            </w:pPr>
            <w:r w:rsidRPr="00BC16BC">
              <w:rPr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4664,8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81094,6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4260,5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C05D3F">
            <w:pPr>
              <w:jc w:val="center"/>
              <w:rPr>
                <w:bCs/>
              </w:rPr>
            </w:pPr>
            <w:r>
              <w:rPr>
                <w:bCs/>
              </w:rPr>
              <w:t>91,3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6,2</w:t>
            </w:r>
          </w:p>
        </w:tc>
      </w:tr>
      <w:tr w:rsidR="00F01E61" w:rsidRPr="00BC16BC" w:rsidTr="00F01E61">
        <w:trPr>
          <w:trHeight w:val="2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1E46FB">
            <w:pPr>
              <w:jc w:val="both"/>
              <w:rPr>
                <w:bCs/>
              </w:rPr>
            </w:pPr>
            <w:r w:rsidRPr="00BC16BC">
              <w:rPr>
                <w:bCs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F01E61" w:rsidP="001E46FB">
            <w:pPr>
              <w:ind w:left="-108" w:right="-66"/>
              <w:jc w:val="center"/>
              <w:rPr>
                <w:bCs/>
              </w:rPr>
            </w:pPr>
            <w:r w:rsidRPr="00BC16BC">
              <w:rPr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C05D3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01E61" w:rsidRPr="00BC16BC" w:rsidTr="00F01E61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both"/>
              <w:rPr>
                <w:bCs/>
              </w:rPr>
            </w:pPr>
            <w:r w:rsidRPr="00BC16BC">
              <w:rPr>
                <w:bCs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66"/>
              <w:jc w:val="center"/>
              <w:rPr>
                <w:bCs/>
              </w:rPr>
            </w:pPr>
            <w:r w:rsidRPr="00BC16BC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6836,0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25118,4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2906,8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C05D3F">
            <w:pPr>
              <w:jc w:val="center"/>
              <w:rPr>
                <w:bCs/>
              </w:rPr>
            </w:pPr>
            <w:r>
              <w:rPr>
                <w:bCs/>
              </w:rPr>
              <w:t>42,5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4,2</w:t>
            </w:r>
          </w:p>
        </w:tc>
      </w:tr>
      <w:tr w:rsidR="00F01E61" w:rsidRPr="00BC16BC" w:rsidTr="00F01E61">
        <w:trPr>
          <w:trHeight w:val="2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both"/>
              <w:rPr>
                <w:bCs/>
              </w:rPr>
            </w:pPr>
            <w:r w:rsidRPr="00BC16BC">
              <w:rPr>
                <w:bCs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72"/>
              <w:jc w:val="center"/>
              <w:rPr>
                <w:bCs/>
              </w:rPr>
            </w:pPr>
            <w:r w:rsidRPr="00BC16BC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1669,3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14477,8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040D22">
            <w:pPr>
              <w:jc w:val="center"/>
              <w:rPr>
                <w:bCs/>
              </w:rPr>
            </w:pPr>
            <w:r>
              <w:rPr>
                <w:bCs/>
              </w:rPr>
              <w:t>2523,6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860F8">
            <w:pPr>
              <w:jc w:val="center"/>
              <w:rPr>
                <w:bCs/>
              </w:rPr>
            </w:pPr>
            <w:r>
              <w:rPr>
                <w:bCs/>
              </w:rPr>
              <w:t>151,2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3,7</w:t>
            </w:r>
          </w:p>
        </w:tc>
      </w:tr>
      <w:tr w:rsidR="00F01E61" w:rsidRPr="00BC16BC" w:rsidTr="00F01E61">
        <w:trPr>
          <w:trHeight w:val="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jc w:val="both"/>
              <w:rPr>
                <w:bCs/>
              </w:rPr>
            </w:pPr>
            <w:r w:rsidRPr="00BC16BC">
              <w:rPr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66"/>
              <w:jc w:val="center"/>
              <w:rPr>
                <w:bCs/>
                <w:sz w:val="18"/>
                <w:szCs w:val="18"/>
              </w:rPr>
            </w:pPr>
            <w:r w:rsidRPr="00BC16B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1669,3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D55757">
            <w:pPr>
              <w:jc w:val="center"/>
              <w:rPr>
                <w:bCs/>
              </w:rPr>
            </w:pPr>
            <w:r>
              <w:rPr>
                <w:bCs/>
              </w:rPr>
              <w:t>5303,8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040D22">
            <w:pPr>
              <w:jc w:val="center"/>
              <w:rPr>
                <w:bCs/>
              </w:rPr>
            </w:pPr>
            <w:r>
              <w:rPr>
                <w:bCs/>
              </w:rPr>
              <w:t>1767,9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C05D3F">
            <w:pPr>
              <w:jc w:val="center"/>
              <w:rPr>
                <w:bCs/>
              </w:rPr>
            </w:pPr>
            <w:r>
              <w:rPr>
                <w:bCs/>
              </w:rPr>
              <w:t>105,9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C16BC" w:rsidRDefault="00887A17" w:rsidP="001E46FB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</w:tbl>
    <w:p w:rsidR="003E63E2" w:rsidRDefault="003E63E2" w:rsidP="008C581A">
      <w:pPr>
        <w:pStyle w:val="ae"/>
        <w:ind w:firstLine="540"/>
        <w:jc w:val="both"/>
        <w:rPr>
          <w:sz w:val="28"/>
          <w:szCs w:val="28"/>
        </w:rPr>
      </w:pPr>
    </w:p>
    <w:p w:rsidR="008C581A" w:rsidRPr="00677A9F" w:rsidRDefault="008C581A" w:rsidP="008C581A">
      <w:pPr>
        <w:pStyle w:val="ae"/>
        <w:ind w:firstLine="540"/>
        <w:jc w:val="both"/>
        <w:rPr>
          <w:sz w:val="28"/>
          <w:szCs w:val="28"/>
        </w:rPr>
      </w:pPr>
      <w:r w:rsidRPr="00677A9F">
        <w:rPr>
          <w:sz w:val="28"/>
          <w:szCs w:val="28"/>
        </w:rPr>
        <w:t xml:space="preserve">Приоритетным направлением расходов бюджета </w:t>
      </w:r>
      <w:proofErr w:type="spellStart"/>
      <w:r w:rsidRPr="00677A9F">
        <w:rPr>
          <w:sz w:val="28"/>
          <w:szCs w:val="28"/>
        </w:rPr>
        <w:t>Конышевского</w:t>
      </w:r>
      <w:proofErr w:type="spellEnd"/>
      <w:r w:rsidRPr="00677A9F">
        <w:rPr>
          <w:sz w:val="28"/>
          <w:szCs w:val="28"/>
        </w:rPr>
        <w:t xml:space="preserve"> района Курской области является финансирование </w:t>
      </w:r>
      <w:r w:rsidR="001574B2">
        <w:rPr>
          <w:sz w:val="28"/>
          <w:szCs w:val="28"/>
        </w:rPr>
        <w:t>образования,</w:t>
      </w:r>
      <w:r w:rsidR="001860F8" w:rsidRPr="00677A9F">
        <w:rPr>
          <w:sz w:val="28"/>
          <w:szCs w:val="28"/>
        </w:rPr>
        <w:t xml:space="preserve"> расходы на котор</w:t>
      </w:r>
      <w:r w:rsidR="00E43AB7">
        <w:rPr>
          <w:sz w:val="28"/>
          <w:szCs w:val="28"/>
        </w:rPr>
        <w:t>ое</w:t>
      </w:r>
      <w:r w:rsidR="001860F8" w:rsidRPr="00677A9F">
        <w:rPr>
          <w:sz w:val="28"/>
          <w:szCs w:val="28"/>
        </w:rPr>
        <w:t xml:space="preserve"> за </w:t>
      </w:r>
      <w:r w:rsidR="00537680" w:rsidRPr="00677A9F">
        <w:rPr>
          <w:sz w:val="28"/>
          <w:szCs w:val="28"/>
        </w:rPr>
        <w:t>1 квартал</w:t>
      </w:r>
      <w:r w:rsidR="00A4699C" w:rsidRPr="00677A9F">
        <w:rPr>
          <w:sz w:val="28"/>
          <w:szCs w:val="28"/>
        </w:rPr>
        <w:t xml:space="preserve"> 202</w:t>
      </w:r>
      <w:r w:rsidR="001574B2">
        <w:rPr>
          <w:sz w:val="28"/>
          <w:szCs w:val="28"/>
        </w:rPr>
        <w:t>4</w:t>
      </w:r>
      <w:r w:rsidR="00A4699C" w:rsidRPr="00677A9F">
        <w:rPr>
          <w:sz w:val="28"/>
          <w:szCs w:val="28"/>
        </w:rPr>
        <w:t xml:space="preserve"> года составили </w:t>
      </w:r>
      <w:r w:rsidR="001574B2">
        <w:rPr>
          <w:sz w:val="28"/>
          <w:szCs w:val="28"/>
        </w:rPr>
        <w:t>65,2</w:t>
      </w:r>
      <w:r w:rsidRPr="00677A9F">
        <w:rPr>
          <w:sz w:val="28"/>
          <w:szCs w:val="28"/>
        </w:rPr>
        <w:t>% (</w:t>
      </w:r>
      <w:r w:rsidR="001574B2">
        <w:rPr>
          <w:sz w:val="28"/>
          <w:szCs w:val="28"/>
        </w:rPr>
        <w:t>44948,0</w:t>
      </w:r>
      <w:r w:rsidRPr="00677A9F">
        <w:rPr>
          <w:sz w:val="28"/>
          <w:szCs w:val="28"/>
        </w:rPr>
        <w:t xml:space="preserve"> тыс. рублей) в </w:t>
      </w:r>
      <w:r w:rsidR="00A4699C" w:rsidRPr="00677A9F">
        <w:rPr>
          <w:sz w:val="28"/>
          <w:szCs w:val="28"/>
        </w:rPr>
        <w:t>общих расходах</w:t>
      </w:r>
      <w:r w:rsidRPr="00677A9F">
        <w:rPr>
          <w:sz w:val="28"/>
          <w:szCs w:val="28"/>
        </w:rPr>
        <w:t xml:space="preserve"> бюджета </w:t>
      </w:r>
      <w:proofErr w:type="spellStart"/>
      <w:r w:rsidRPr="00677A9F">
        <w:rPr>
          <w:sz w:val="28"/>
          <w:szCs w:val="28"/>
        </w:rPr>
        <w:t>Конышевского</w:t>
      </w:r>
      <w:proofErr w:type="spellEnd"/>
      <w:r w:rsidRPr="00677A9F">
        <w:rPr>
          <w:sz w:val="28"/>
          <w:szCs w:val="28"/>
        </w:rPr>
        <w:t xml:space="preserve"> района Курской области. По отношению к годовым назначени</w:t>
      </w:r>
      <w:r w:rsidR="00A4699C" w:rsidRPr="00677A9F">
        <w:rPr>
          <w:sz w:val="28"/>
          <w:szCs w:val="28"/>
        </w:rPr>
        <w:t xml:space="preserve">ям расходы </w:t>
      </w:r>
      <w:r w:rsidRPr="00677A9F">
        <w:rPr>
          <w:sz w:val="28"/>
          <w:szCs w:val="28"/>
        </w:rPr>
        <w:t xml:space="preserve">исполнены на </w:t>
      </w:r>
      <w:r w:rsidR="001574B2">
        <w:rPr>
          <w:sz w:val="28"/>
          <w:szCs w:val="28"/>
        </w:rPr>
        <w:t>20,7</w:t>
      </w:r>
      <w:r w:rsidRPr="00677A9F">
        <w:rPr>
          <w:sz w:val="28"/>
          <w:szCs w:val="28"/>
        </w:rPr>
        <w:t xml:space="preserve"> % (предусмотрено </w:t>
      </w:r>
      <w:r w:rsidR="001574B2">
        <w:rPr>
          <w:sz w:val="28"/>
          <w:szCs w:val="28"/>
        </w:rPr>
        <w:t>216873,5</w:t>
      </w:r>
      <w:r w:rsidRPr="00677A9F">
        <w:rPr>
          <w:sz w:val="28"/>
          <w:szCs w:val="28"/>
        </w:rPr>
        <w:t xml:space="preserve"> тыс. рублей).</w:t>
      </w:r>
    </w:p>
    <w:p w:rsidR="00892CCC" w:rsidRPr="000F00D0" w:rsidRDefault="00892CCC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Низкое исполнение бюджета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537680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</w:t>
      </w:r>
      <w:r w:rsidR="003D774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наблюдается по разделам: «</w:t>
      </w:r>
      <w:r w:rsidR="004C1316" w:rsidRPr="004C1316">
        <w:rPr>
          <w:sz w:val="28"/>
          <w:szCs w:val="28"/>
        </w:rPr>
        <w:t xml:space="preserve">Национальная </w:t>
      </w:r>
      <w:r w:rsidR="003D7742">
        <w:rPr>
          <w:sz w:val="28"/>
          <w:szCs w:val="28"/>
        </w:rPr>
        <w:t>экономика</w:t>
      </w:r>
      <w:r>
        <w:rPr>
          <w:sz w:val="28"/>
          <w:szCs w:val="28"/>
        </w:rPr>
        <w:t>» -</w:t>
      </w:r>
      <w:r w:rsidR="00537680">
        <w:rPr>
          <w:sz w:val="28"/>
          <w:szCs w:val="28"/>
        </w:rPr>
        <w:t xml:space="preserve"> </w:t>
      </w:r>
      <w:r w:rsidR="003D7742">
        <w:rPr>
          <w:sz w:val="28"/>
          <w:szCs w:val="28"/>
        </w:rPr>
        <w:t>5,9</w:t>
      </w:r>
      <w:r>
        <w:rPr>
          <w:sz w:val="28"/>
          <w:szCs w:val="28"/>
        </w:rPr>
        <w:t>%, «</w:t>
      </w:r>
      <w:r w:rsidR="00537680" w:rsidRPr="00537680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- </w:t>
      </w:r>
      <w:r w:rsidR="003D7742">
        <w:rPr>
          <w:sz w:val="28"/>
          <w:szCs w:val="28"/>
        </w:rPr>
        <w:t>1,6</w:t>
      </w:r>
      <w:r>
        <w:rPr>
          <w:sz w:val="28"/>
          <w:szCs w:val="28"/>
        </w:rPr>
        <w:t>%</w:t>
      </w:r>
      <w:r w:rsidR="003D7742">
        <w:rPr>
          <w:sz w:val="28"/>
          <w:szCs w:val="28"/>
        </w:rPr>
        <w:t>, «Культура и кинематография» - 5,3%</w:t>
      </w:r>
      <w:r>
        <w:rPr>
          <w:sz w:val="28"/>
          <w:szCs w:val="28"/>
        </w:rPr>
        <w:t>. Отсутствует исполнение по разделу «Здравоохранение».</w:t>
      </w:r>
    </w:p>
    <w:p w:rsidR="00BA1082" w:rsidRDefault="00BA1082" w:rsidP="008C581A">
      <w:pPr>
        <w:pStyle w:val="af6"/>
        <w:rPr>
          <w:rFonts w:ascii="Times New Roman" w:hAnsi="Times New Roman" w:cs="Times New Roman"/>
          <w:color w:val="FF0000"/>
        </w:rPr>
      </w:pPr>
    </w:p>
    <w:p w:rsidR="007E02FB" w:rsidRDefault="007E02FB" w:rsidP="008C581A">
      <w:pPr>
        <w:pStyle w:val="ae"/>
        <w:ind w:firstLine="540"/>
        <w:jc w:val="both"/>
        <w:rPr>
          <w:b/>
          <w:sz w:val="28"/>
          <w:szCs w:val="28"/>
        </w:rPr>
      </w:pPr>
      <w:r w:rsidRPr="007E02FB">
        <w:rPr>
          <w:b/>
          <w:sz w:val="28"/>
          <w:szCs w:val="28"/>
        </w:rPr>
        <w:t>3.2</w:t>
      </w:r>
      <w:r w:rsidR="00260A67">
        <w:rPr>
          <w:b/>
          <w:sz w:val="28"/>
          <w:szCs w:val="28"/>
        </w:rPr>
        <w:t xml:space="preserve">. </w:t>
      </w:r>
      <w:r w:rsidRPr="007E02FB">
        <w:rPr>
          <w:b/>
          <w:sz w:val="28"/>
          <w:szCs w:val="28"/>
        </w:rPr>
        <w:t>Расходы, предусмотре</w:t>
      </w:r>
      <w:r w:rsidR="00BA1082">
        <w:rPr>
          <w:b/>
          <w:sz w:val="28"/>
          <w:szCs w:val="28"/>
        </w:rPr>
        <w:t xml:space="preserve">нные на финансирование </w:t>
      </w:r>
      <w:r w:rsidR="00BC16BC">
        <w:rPr>
          <w:b/>
          <w:sz w:val="28"/>
          <w:szCs w:val="28"/>
        </w:rPr>
        <w:t>муниципальных программ</w:t>
      </w:r>
    </w:p>
    <w:p w:rsidR="00677A9F" w:rsidRPr="000F0293" w:rsidRDefault="008C581A" w:rsidP="008C581A">
      <w:pPr>
        <w:pStyle w:val="ae"/>
        <w:ind w:firstLine="540"/>
        <w:jc w:val="both"/>
        <w:rPr>
          <w:sz w:val="28"/>
          <w:szCs w:val="28"/>
        </w:rPr>
      </w:pPr>
      <w:proofErr w:type="gramStart"/>
      <w:r w:rsidRPr="00215A32">
        <w:rPr>
          <w:sz w:val="28"/>
          <w:szCs w:val="28"/>
        </w:rPr>
        <w:t xml:space="preserve">Решением Представительного Собрания </w:t>
      </w:r>
      <w:proofErr w:type="spellStart"/>
      <w:r w:rsidRPr="00215A32">
        <w:rPr>
          <w:sz w:val="28"/>
          <w:szCs w:val="28"/>
        </w:rPr>
        <w:t>Конышевс</w:t>
      </w:r>
      <w:r w:rsidR="00646172">
        <w:rPr>
          <w:sz w:val="28"/>
          <w:szCs w:val="28"/>
        </w:rPr>
        <w:t>кого</w:t>
      </w:r>
      <w:proofErr w:type="spellEnd"/>
      <w:r w:rsidR="00646172">
        <w:rPr>
          <w:sz w:val="28"/>
          <w:szCs w:val="28"/>
        </w:rPr>
        <w:t xml:space="preserve"> района Курской области </w:t>
      </w:r>
      <w:r w:rsidR="005D11B2" w:rsidRPr="00E84607">
        <w:rPr>
          <w:color w:val="000000" w:themeColor="text1"/>
          <w:sz w:val="28"/>
          <w:szCs w:val="28"/>
        </w:rPr>
        <w:t>от 2</w:t>
      </w:r>
      <w:r w:rsidR="005D11B2">
        <w:rPr>
          <w:color w:val="000000" w:themeColor="text1"/>
          <w:sz w:val="28"/>
          <w:szCs w:val="28"/>
        </w:rPr>
        <w:t xml:space="preserve">1.12.2023 №365 </w:t>
      </w:r>
      <w:r w:rsidR="005D11B2" w:rsidRPr="00E8460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="005D11B2"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="005D11B2" w:rsidRPr="00E84607">
        <w:rPr>
          <w:color w:val="000000" w:themeColor="text1"/>
          <w:sz w:val="28"/>
          <w:szCs w:val="28"/>
        </w:rPr>
        <w:t xml:space="preserve"> района Курской области на 202</w:t>
      </w:r>
      <w:r w:rsidR="005D11B2">
        <w:rPr>
          <w:color w:val="000000" w:themeColor="text1"/>
          <w:sz w:val="28"/>
          <w:szCs w:val="28"/>
        </w:rPr>
        <w:t>4</w:t>
      </w:r>
      <w:r w:rsidR="005D11B2" w:rsidRPr="00E846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5D11B2">
        <w:rPr>
          <w:color w:val="000000" w:themeColor="text1"/>
          <w:sz w:val="28"/>
          <w:szCs w:val="28"/>
        </w:rPr>
        <w:t>5</w:t>
      </w:r>
      <w:r w:rsidR="005D11B2" w:rsidRPr="00E84607">
        <w:rPr>
          <w:color w:val="000000" w:themeColor="text1"/>
          <w:sz w:val="28"/>
          <w:szCs w:val="28"/>
        </w:rPr>
        <w:t xml:space="preserve"> и 202</w:t>
      </w:r>
      <w:r w:rsidR="005D11B2">
        <w:rPr>
          <w:color w:val="000000" w:themeColor="text1"/>
          <w:sz w:val="28"/>
          <w:szCs w:val="28"/>
        </w:rPr>
        <w:t>6 годов» (в редакции решения от 26</w:t>
      </w:r>
      <w:r w:rsidR="005D11B2" w:rsidRPr="00E84607">
        <w:rPr>
          <w:color w:val="000000" w:themeColor="text1"/>
          <w:sz w:val="28"/>
          <w:szCs w:val="28"/>
        </w:rPr>
        <w:t>.0</w:t>
      </w:r>
      <w:r w:rsidR="005D11B2">
        <w:rPr>
          <w:color w:val="000000" w:themeColor="text1"/>
          <w:sz w:val="28"/>
          <w:szCs w:val="28"/>
        </w:rPr>
        <w:t>2.2024 №382</w:t>
      </w:r>
      <w:r w:rsidR="005D11B2" w:rsidRPr="00E84607">
        <w:rPr>
          <w:color w:val="000000" w:themeColor="text1"/>
          <w:sz w:val="28"/>
          <w:szCs w:val="28"/>
        </w:rPr>
        <w:t xml:space="preserve">) </w:t>
      </w:r>
      <w:r w:rsidRPr="00215A32">
        <w:rPr>
          <w:sz w:val="28"/>
          <w:szCs w:val="28"/>
        </w:rPr>
        <w:t>на реализацию  муниципальных  программ предусмотрены средства в о</w:t>
      </w:r>
      <w:r w:rsidR="002A1B63">
        <w:rPr>
          <w:sz w:val="28"/>
          <w:szCs w:val="28"/>
        </w:rPr>
        <w:t xml:space="preserve">бщей сумме </w:t>
      </w:r>
      <w:r w:rsidR="00D01ACD">
        <w:rPr>
          <w:sz w:val="28"/>
          <w:szCs w:val="28"/>
        </w:rPr>
        <w:t xml:space="preserve">363748,0 </w:t>
      </w:r>
      <w:r w:rsidR="00677A9F">
        <w:rPr>
          <w:sz w:val="28"/>
          <w:szCs w:val="28"/>
        </w:rPr>
        <w:t xml:space="preserve"> тыс. рублей, </w:t>
      </w:r>
      <w:r w:rsidR="00BA1082" w:rsidRPr="000F0293">
        <w:rPr>
          <w:sz w:val="28"/>
          <w:szCs w:val="28"/>
        </w:rPr>
        <w:t xml:space="preserve">что составляет </w:t>
      </w:r>
      <w:r w:rsidR="00D01ACD">
        <w:rPr>
          <w:sz w:val="28"/>
          <w:szCs w:val="28"/>
        </w:rPr>
        <w:t>81,2</w:t>
      </w:r>
      <w:r w:rsidR="0083431C" w:rsidRPr="000F0293">
        <w:rPr>
          <w:sz w:val="28"/>
          <w:szCs w:val="28"/>
        </w:rPr>
        <w:t xml:space="preserve">% </w:t>
      </w:r>
      <w:r w:rsidR="00677A9F" w:rsidRPr="000F0293">
        <w:rPr>
          <w:sz w:val="28"/>
          <w:szCs w:val="28"/>
        </w:rPr>
        <w:t>утвержденных р</w:t>
      </w:r>
      <w:r w:rsidR="0083431C" w:rsidRPr="000F0293">
        <w:rPr>
          <w:sz w:val="28"/>
          <w:szCs w:val="28"/>
        </w:rPr>
        <w:t>асходов бюджета</w:t>
      </w:r>
      <w:r w:rsidR="00677A9F" w:rsidRPr="000F0293">
        <w:rPr>
          <w:sz w:val="28"/>
          <w:szCs w:val="28"/>
        </w:rPr>
        <w:t>.</w:t>
      </w:r>
      <w:proofErr w:type="gramEnd"/>
      <w:r w:rsidR="00677A9F" w:rsidRPr="000F0293">
        <w:rPr>
          <w:sz w:val="28"/>
          <w:szCs w:val="28"/>
        </w:rPr>
        <w:t xml:space="preserve"> В соответствии со сводной бюджетной росписью программные расходы утверждены в сумме </w:t>
      </w:r>
      <w:r w:rsidR="00260A67">
        <w:rPr>
          <w:sz w:val="28"/>
          <w:szCs w:val="28"/>
        </w:rPr>
        <w:t xml:space="preserve">    </w:t>
      </w:r>
      <w:r w:rsidR="00D01ACD">
        <w:rPr>
          <w:sz w:val="28"/>
          <w:szCs w:val="28"/>
        </w:rPr>
        <w:t>381113,1</w:t>
      </w:r>
      <w:r w:rsidR="00677A9F" w:rsidRPr="000F0293">
        <w:rPr>
          <w:sz w:val="28"/>
          <w:szCs w:val="28"/>
        </w:rPr>
        <w:t xml:space="preserve"> тыс. рублей, </w:t>
      </w:r>
      <w:r w:rsidR="000F0293" w:rsidRPr="000F0293">
        <w:rPr>
          <w:sz w:val="28"/>
          <w:szCs w:val="28"/>
        </w:rPr>
        <w:t xml:space="preserve">что составляет </w:t>
      </w:r>
      <w:r w:rsidR="00D01ACD">
        <w:rPr>
          <w:sz w:val="28"/>
          <w:szCs w:val="28"/>
        </w:rPr>
        <w:t>82,2</w:t>
      </w:r>
      <w:r w:rsidR="000F0293" w:rsidRPr="000F0293">
        <w:rPr>
          <w:sz w:val="28"/>
          <w:szCs w:val="28"/>
        </w:rPr>
        <w:t>%.</w:t>
      </w:r>
    </w:p>
    <w:p w:rsidR="0083431C" w:rsidRDefault="00053BD9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расходов, произведенных в рамках муниципальных программ</w:t>
      </w:r>
      <w:r w:rsidR="0083431C">
        <w:rPr>
          <w:sz w:val="28"/>
          <w:szCs w:val="28"/>
        </w:rPr>
        <w:t xml:space="preserve"> </w:t>
      </w:r>
      <w:proofErr w:type="spellStart"/>
      <w:r w:rsidR="0083431C">
        <w:rPr>
          <w:sz w:val="28"/>
          <w:szCs w:val="28"/>
        </w:rPr>
        <w:t>Конышевского</w:t>
      </w:r>
      <w:proofErr w:type="spellEnd"/>
      <w:r w:rsidR="0083431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за </w:t>
      </w:r>
      <w:r w:rsidR="00AB1670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</w:t>
      </w:r>
      <w:r w:rsidR="00D01AC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</w:t>
      </w:r>
      <w:r w:rsidR="0083431C">
        <w:rPr>
          <w:sz w:val="28"/>
          <w:szCs w:val="28"/>
        </w:rPr>
        <w:t xml:space="preserve"> </w:t>
      </w:r>
      <w:r w:rsidR="00D01ACD">
        <w:rPr>
          <w:sz w:val="28"/>
          <w:szCs w:val="28"/>
        </w:rPr>
        <w:t>60794,2</w:t>
      </w:r>
      <w:r w:rsidR="000F0293">
        <w:rPr>
          <w:sz w:val="28"/>
          <w:szCs w:val="28"/>
        </w:rPr>
        <w:t xml:space="preserve"> тыс. рублей или </w:t>
      </w:r>
      <w:r w:rsidR="00D01ACD">
        <w:rPr>
          <w:sz w:val="28"/>
          <w:szCs w:val="28"/>
        </w:rPr>
        <w:t>16,0</w:t>
      </w:r>
      <w:r w:rsidR="0083431C">
        <w:rPr>
          <w:sz w:val="28"/>
          <w:szCs w:val="28"/>
        </w:rPr>
        <w:t xml:space="preserve">% </w:t>
      </w:r>
      <w:r w:rsidR="007E7FE7">
        <w:rPr>
          <w:sz w:val="28"/>
          <w:szCs w:val="28"/>
        </w:rPr>
        <w:t xml:space="preserve">от </w:t>
      </w:r>
      <w:r w:rsidR="0083431C">
        <w:rPr>
          <w:sz w:val="28"/>
          <w:szCs w:val="28"/>
        </w:rPr>
        <w:t>ут</w:t>
      </w:r>
      <w:r w:rsidR="000F0293">
        <w:rPr>
          <w:sz w:val="28"/>
          <w:szCs w:val="28"/>
        </w:rPr>
        <w:t>вержденных</w:t>
      </w:r>
      <w:r w:rsidR="00C34800">
        <w:rPr>
          <w:sz w:val="28"/>
          <w:szCs w:val="28"/>
        </w:rPr>
        <w:t xml:space="preserve"> программных</w:t>
      </w:r>
      <w:r w:rsidR="007E7FE7">
        <w:rPr>
          <w:sz w:val="28"/>
          <w:szCs w:val="28"/>
        </w:rPr>
        <w:t xml:space="preserve"> </w:t>
      </w:r>
      <w:r w:rsidR="000F0293">
        <w:rPr>
          <w:sz w:val="28"/>
          <w:szCs w:val="28"/>
        </w:rPr>
        <w:t xml:space="preserve">расходов. </w:t>
      </w:r>
      <w:r w:rsidR="002A1B63">
        <w:rPr>
          <w:sz w:val="28"/>
          <w:szCs w:val="28"/>
        </w:rPr>
        <w:t xml:space="preserve"> </w:t>
      </w:r>
    </w:p>
    <w:p w:rsidR="0083431C" w:rsidRDefault="0083431C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1</w:t>
      </w:r>
      <w:r w:rsidR="00121781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программ ниже среднего уровня (</w:t>
      </w:r>
      <w:r w:rsidR="00D01ACD">
        <w:rPr>
          <w:sz w:val="28"/>
          <w:szCs w:val="28"/>
        </w:rPr>
        <w:t>16</w:t>
      </w:r>
      <w:r>
        <w:rPr>
          <w:sz w:val="28"/>
          <w:szCs w:val="28"/>
        </w:rPr>
        <w:t xml:space="preserve">%) исполнены расходы по </w:t>
      </w:r>
      <w:r w:rsidR="00121781">
        <w:rPr>
          <w:sz w:val="28"/>
          <w:szCs w:val="28"/>
        </w:rPr>
        <w:t>8</w:t>
      </w:r>
      <w:r w:rsidR="00941049">
        <w:rPr>
          <w:sz w:val="28"/>
          <w:szCs w:val="28"/>
        </w:rPr>
        <w:t xml:space="preserve"> муниципальным программам</w:t>
      </w:r>
      <w:r w:rsidR="00E202C3">
        <w:rPr>
          <w:sz w:val="28"/>
          <w:szCs w:val="28"/>
        </w:rPr>
        <w:t xml:space="preserve">, по </w:t>
      </w:r>
      <w:r w:rsidR="00D01ACD">
        <w:rPr>
          <w:sz w:val="28"/>
          <w:szCs w:val="28"/>
        </w:rPr>
        <w:t>3</w:t>
      </w:r>
      <w:r w:rsidR="00E202C3">
        <w:rPr>
          <w:sz w:val="28"/>
          <w:szCs w:val="28"/>
        </w:rPr>
        <w:t xml:space="preserve"> муниципальным программам</w:t>
      </w:r>
      <w:r w:rsidR="00E202C3" w:rsidRPr="00E202C3">
        <w:rPr>
          <w:sz w:val="28"/>
          <w:szCs w:val="28"/>
        </w:rPr>
        <w:t xml:space="preserve"> </w:t>
      </w:r>
      <w:r w:rsidR="00E202C3">
        <w:rPr>
          <w:sz w:val="28"/>
          <w:szCs w:val="28"/>
        </w:rPr>
        <w:t>расходы не производились</w:t>
      </w:r>
      <w:r w:rsidR="00941049">
        <w:rPr>
          <w:sz w:val="28"/>
          <w:szCs w:val="28"/>
        </w:rPr>
        <w:t>.</w:t>
      </w:r>
    </w:p>
    <w:p w:rsidR="009B7524" w:rsidRDefault="0082080D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общем объеме расходов на реализацию муниципальных программ за </w:t>
      </w:r>
      <w:r w:rsidR="00E202C3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</w:t>
      </w:r>
      <w:r w:rsidR="00D01AC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85D36">
        <w:rPr>
          <w:sz w:val="28"/>
          <w:szCs w:val="28"/>
        </w:rPr>
        <w:t>занимае</w:t>
      </w:r>
      <w:r>
        <w:rPr>
          <w:sz w:val="28"/>
          <w:szCs w:val="28"/>
        </w:rPr>
        <w:t>т программ</w:t>
      </w:r>
      <w:r w:rsidR="00E85D36">
        <w:rPr>
          <w:sz w:val="28"/>
          <w:szCs w:val="28"/>
        </w:rPr>
        <w:t>а</w:t>
      </w:r>
      <w:r>
        <w:rPr>
          <w:sz w:val="28"/>
          <w:szCs w:val="28"/>
        </w:rPr>
        <w:t xml:space="preserve">: «Развитие образования в </w:t>
      </w:r>
      <w:proofErr w:type="spellStart"/>
      <w:r>
        <w:rPr>
          <w:sz w:val="28"/>
          <w:szCs w:val="28"/>
        </w:rPr>
        <w:t>Конышевском</w:t>
      </w:r>
      <w:proofErr w:type="spellEnd"/>
      <w:r>
        <w:rPr>
          <w:sz w:val="28"/>
          <w:szCs w:val="28"/>
        </w:rPr>
        <w:t xml:space="preserve"> районе» (</w:t>
      </w:r>
      <w:r w:rsidR="00D01ACD">
        <w:rPr>
          <w:sz w:val="28"/>
          <w:szCs w:val="28"/>
        </w:rPr>
        <w:t>65,3</w:t>
      </w:r>
      <w:r>
        <w:rPr>
          <w:sz w:val="28"/>
          <w:szCs w:val="28"/>
        </w:rPr>
        <w:t xml:space="preserve">% или </w:t>
      </w:r>
      <w:r w:rsidR="00D01ACD">
        <w:rPr>
          <w:sz w:val="28"/>
          <w:szCs w:val="28"/>
        </w:rPr>
        <w:t>45013,0</w:t>
      </w:r>
      <w:r>
        <w:rPr>
          <w:sz w:val="28"/>
          <w:szCs w:val="28"/>
        </w:rPr>
        <w:t xml:space="preserve"> тыс.</w:t>
      </w:r>
      <w:r w:rsidR="00CC2156">
        <w:rPr>
          <w:sz w:val="28"/>
          <w:szCs w:val="28"/>
        </w:rPr>
        <w:t xml:space="preserve"> </w:t>
      </w:r>
      <w:r w:rsidR="00E85D36">
        <w:rPr>
          <w:sz w:val="28"/>
          <w:szCs w:val="28"/>
        </w:rPr>
        <w:t>рублей.).</w:t>
      </w:r>
    </w:p>
    <w:p w:rsidR="00DC3B55" w:rsidRDefault="00DC3B55" w:rsidP="00DC3B55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>Расходы на реализацию муниципальных программ в 1 квартале 202</w:t>
      </w:r>
      <w:r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3E63E2" w:rsidRDefault="003E63E2" w:rsidP="00DC3B55">
      <w:pPr>
        <w:pStyle w:val="ae"/>
        <w:ind w:firstLine="540"/>
        <w:jc w:val="both"/>
        <w:rPr>
          <w:sz w:val="28"/>
          <w:szCs w:val="28"/>
        </w:rPr>
      </w:pPr>
    </w:p>
    <w:p w:rsidR="00DC3B55" w:rsidRDefault="00DC3B55" w:rsidP="00DC3B55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lastRenderedPageBreak/>
        <w:t xml:space="preserve">Расходы на реализацию муниципальных программ </w:t>
      </w:r>
    </w:p>
    <w:p w:rsidR="00DC3B55" w:rsidRPr="003C1921" w:rsidRDefault="00DC3B55" w:rsidP="00DC3B55">
      <w:pPr>
        <w:pStyle w:val="ae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в 1 квартале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245"/>
        <w:gridCol w:w="1228"/>
      </w:tblGrid>
      <w:tr w:rsidR="00DC3B55" w:rsidRPr="00C60A06" w:rsidTr="00283D9A">
        <w:trPr>
          <w:trHeight w:val="836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55" w:rsidRPr="00C60A06" w:rsidRDefault="00DC3B55" w:rsidP="00BF165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55" w:rsidRPr="00283D9A" w:rsidRDefault="00E04AF4" w:rsidP="00BF165C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 бюджетной росписи</w:t>
            </w:r>
          </w:p>
          <w:p w:rsidR="00E04AF4" w:rsidRDefault="00DC3B55" w:rsidP="00BF165C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 w:rsidRPr="00283D9A">
              <w:rPr>
                <w:b/>
                <w:bCs/>
                <w:sz w:val="18"/>
                <w:szCs w:val="18"/>
              </w:rPr>
              <w:t xml:space="preserve"> на 2024 год </w:t>
            </w:r>
          </w:p>
          <w:p w:rsidR="00DC3B55" w:rsidRPr="00E04AF4" w:rsidRDefault="00E04AF4" w:rsidP="00BF165C">
            <w:pPr>
              <w:ind w:left="-108" w:right="-55"/>
              <w:jc w:val="center"/>
              <w:rPr>
                <w:bCs/>
                <w:sz w:val="16"/>
                <w:szCs w:val="16"/>
              </w:rPr>
            </w:pPr>
            <w:r w:rsidRPr="00E04AF4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с</w:t>
            </w:r>
            <w:r w:rsidRPr="00E04AF4">
              <w:rPr>
                <w:bCs/>
                <w:sz w:val="16"/>
                <w:szCs w:val="16"/>
              </w:rPr>
              <w:t xml:space="preserve"> внесенными </w:t>
            </w:r>
            <w:proofErr w:type="spellStart"/>
            <w:r w:rsidRPr="00E04AF4">
              <w:rPr>
                <w:bCs/>
                <w:sz w:val="16"/>
                <w:szCs w:val="16"/>
              </w:rPr>
              <w:t>именениями</w:t>
            </w:r>
            <w:proofErr w:type="spellEnd"/>
            <w:r w:rsidRPr="00E04AF4">
              <w:rPr>
                <w:bCs/>
                <w:sz w:val="16"/>
                <w:szCs w:val="16"/>
              </w:rPr>
              <w:t>)</w:t>
            </w:r>
          </w:p>
          <w:p w:rsidR="00DC3B55" w:rsidRPr="00283D9A" w:rsidRDefault="00DC3B55" w:rsidP="00BF165C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55" w:rsidRPr="00283D9A" w:rsidRDefault="00DC3B55" w:rsidP="00BF165C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283D9A">
              <w:rPr>
                <w:b/>
                <w:bCs/>
                <w:sz w:val="18"/>
                <w:szCs w:val="18"/>
              </w:rPr>
              <w:t xml:space="preserve">Исполнено </w:t>
            </w:r>
          </w:p>
          <w:p w:rsidR="00DC3B55" w:rsidRPr="00283D9A" w:rsidRDefault="00DC3B55" w:rsidP="00BF165C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283D9A">
              <w:rPr>
                <w:b/>
                <w:bCs/>
                <w:sz w:val="18"/>
                <w:szCs w:val="18"/>
              </w:rPr>
              <w:t xml:space="preserve">на 01.04.2024г.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5" w:rsidRPr="00C60A06" w:rsidRDefault="00DC3B55" w:rsidP="00BF165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DC3B55" w:rsidRPr="00C60A06" w:rsidRDefault="00DC3B55" w:rsidP="00BF16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3B55" w:rsidRPr="00C60A06" w:rsidTr="00283D9A">
        <w:trPr>
          <w:trHeight w:val="214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4E6F98" w:rsidRDefault="00DC3B55" w:rsidP="00DC3B55">
            <w:pPr>
              <w:jc w:val="both"/>
              <w:rPr>
                <w:bCs/>
                <w:sz w:val="22"/>
                <w:szCs w:val="22"/>
              </w:rPr>
            </w:pPr>
            <w:r w:rsidRPr="00DC3B55">
              <w:rPr>
                <w:bCs/>
                <w:color w:val="000000"/>
              </w:rPr>
              <w:t xml:space="preserve"> «Развитие культуры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81094,6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4260,5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5,3</w:t>
            </w:r>
          </w:p>
        </w:tc>
      </w:tr>
      <w:tr w:rsidR="00DC3B55" w:rsidRPr="00C60A06" w:rsidTr="00BF165C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jc w:val="both"/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«Социальная поддержка граждан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24422,5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2803,4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11,5</w:t>
            </w:r>
          </w:p>
        </w:tc>
      </w:tr>
      <w:tr w:rsidR="00DC3B55" w:rsidRPr="00C60A06" w:rsidTr="00BF165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jc w:val="both"/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«Развитие образования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216368,7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45013,0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20,8</w:t>
            </w:r>
          </w:p>
        </w:tc>
      </w:tr>
      <w:tr w:rsidR="00DC3B55" w:rsidRPr="00C60A06" w:rsidTr="00BF165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«Информационное обеспечение управления недвижимостью, реформирования и регулирования земельных и имущественных отношений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0,6</w:t>
            </w:r>
          </w:p>
        </w:tc>
      </w:tr>
      <w:tr w:rsidR="00DC3B55" w:rsidRPr="00C60A06" w:rsidTr="00BF165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"Охрана окружающей среды на территории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3168,7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62,9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2,0</w:t>
            </w:r>
          </w:p>
        </w:tc>
      </w:tr>
      <w:tr w:rsidR="00DC3B55" w:rsidRPr="00C60A06" w:rsidTr="00122480">
        <w:trPr>
          <w:trHeight w:val="44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"Обеспечение доступным и комфортным жильем и коммунальными услугами граждан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DC3B55" w:rsidRPr="00C60A06" w:rsidTr="00BF165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15666,6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2561,9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</w:t>
            </w:r>
          </w:p>
        </w:tc>
      </w:tr>
      <w:tr w:rsidR="00DC3B55" w:rsidRPr="00C60A06" w:rsidTr="00283D9A">
        <w:trPr>
          <w:trHeight w:val="36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«Развитие муниципальной службы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DC3B55" w:rsidRPr="00C60A06" w:rsidTr="00283D9A">
        <w:trPr>
          <w:trHeight w:val="45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283D9A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</w:t>
            </w:r>
            <w:r w:rsidR="00DC3B55" w:rsidRPr="00DC3B55">
              <w:rPr>
                <w:bCs/>
                <w:color w:val="000000"/>
              </w:rPr>
              <w:t xml:space="preserve">«Сохранение и развитие архивного дела в </w:t>
            </w:r>
            <w:proofErr w:type="spellStart"/>
            <w:r w:rsidR="00DC3B55" w:rsidRPr="00DC3B55">
              <w:rPr>
                <w:bCs/>
                <w:color w:val="000000"/>
              </w:rPr>
              <w:t>Конышевском</w:t>
            </w:r>
            <w:proofErr w:type="spellEnd"/>
            <w:r w:rsidR="00DC3B55"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556,5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17,8</w:t>
            </w:r>
          </w:p>
        </w:tc>
      </w:tr>
      <w:tr w:rsidR="00DC3B55" w:rsidRPr="00C60A06" w:rsidTr="00BF165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«Развитие  транспортной  системы,  обеспечение перевозки пассажиров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 и  безопасности дорожного </w:t>
            </w:r>
            <w:proofErr w:type="spellStart"/>
            <w:r w:rsidRPr="00DC3B55">
              <w:rPr>
                <w:bCs/>
                <w:color w:val="000000"/>
              </w:rPr>
              <w:t>движения</w:t>
            </w:r>
            <w:proofErr w:type="gramStart"/>
            <w:r w:rsidRPr="00DC3B55">
              <w:rPr>
                <w:bCs/>
                <w:color w:val="000000"/>
              </w:rPr>
              <w:t>,ф</w:t>
            </w:r>
            <w:proofErr w:type="gramEnd"/>
            <w:r w:rsidRPr="00DC3B55">
              <w:rPr>
                <w:bCs/>
                <w:color w:val="000000"/>
              </w:rPr>
              <w:t>ормирования</w:t>
            </w:r>
            <w:proofErr w:type="spellEnd"/>
            <w:r w:rsidRPr="00DC3B55">
              <w:rPr>
                <w:bCs/>
                <w:color w:val="000000"/>
              </w:rPr>
              <w:t xml:space="preserve"> законопослушного поведения участников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15206,2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925,5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</w:t>
            </w:r>
          </w:p>
        </w:tc>
      </w:tr>
      <w:tr w:rsidR="00DC3B55" w:rsidRPr="00C60A06" w:rsidTr="00283D9A">
        <w:trPr>
          <w:trHeight w:val="47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«Профилактика правонарушений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1169,7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20,9</w:t>
            </w:r>
          </w:p>
        </w:tc>
      </w:tr>
      <w:tr w:rsidR="00DC3B55" w:rsidRPr="00C60A06" w:rsidTr="00BF165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283D9A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</w:t>
            </w:r>
            <w:r w:rsidR="00DC3B55" w:rsidRPr="00DC3B55">
              <w:rPr>
                <w:bCs/>
                <w:color w:val="00000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="00DC3B55" w:rsidRPr="00DC3B55">
              <w:rPr>
                <w:bCs/>
                <w:color w:val="000000"/>
              </w:rPr>
              <w:t>Конышевского</w:t>
            </w:r>
            <w:proofErr w:type="spellEnd"/>
            <w:r w:rsidR="00DC3B55" w:rsidRPr="00DC3B55">
              <w:rPr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576,2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</w:t>
            </w:r>
          </w:p>
        </w:tc>
      </w:tr>
      <w:tr w:rsidR="00DC3B55" w:rsidRPr="00C60A06" w:rsidTr="00BF165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«Создание условий для эффективного и ответственного управления муниципальными финансами, муниципальным долгом и повышение устойчивости бюджета </w:t>
            </w:r>
            <w:proofErr w:type="spellStart"/>
            <w:r w:rsidRPr="00DC3B55">
              <w:rPr>
                <w:bCs/>
                <w:color w:val="000000"/>
              </w:rPr>
              <w:t>Конышеского</w:t>
            </w:r>
            <w:proofErr w:type="spellEnd"/>
            <w:r w:rsidRPr="00DC3B55">
              <w:rPr>
                <w:bCs/>
                <w:color w:val="000000"/>
              </w:rPr>
              <w:t xml:space="preserve">  района Курской 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21210,3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4726,7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22,3</w:t>
            </w:r>
          </w:p>
        </w:tc>
      </w:tr>
      <w:tr w:rsidR="00DC3B55" w:rsidRPr="00C60A06" w:rsidTr="00283D9A">
        <w:trPr>
          <w:trHeight w:val="44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</w:rPr>
              <w:t xml:space="preserve"> «Развитие системы защиты информации в Администрации  </w:t>
            </w:r>
            <w:proofErr w:type="spellStart"/>
            <w:r w:rsidRPr="00DC3B55">
              <w:rPr>
                <w:bCs/>
              </w:rPr>
              <w:t>Конышевского</w:t>
            </w:r>
            <w:proofErr w:type="spellEnd"/>
            <w:r w:rsidRPr="00DC3B55">
              <w:rPr>
                <w:bCs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5,8</w:t>
            </w:r>
          </w:p>
        </w:tc>
      </w:tr>
      <w:tr w:rsidR="00DC3B55" w:rsidRPr="00C60A06" w:rsidTr="00283D9A">
        <w:trPr>
          <w:trHeight w:val="25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«Содействие занятости населения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448,1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4,2</w:t>
            </w:r>
          </w:p>
        </w:tc>
      </w:tr>
      <w:tr w:rsidR="00DC3B55" w:rsidRPr="00C60A06" w:rsidTr="00283D9A">
        <w:trPr>
          <w:trHeight w:val="42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"Противодействие злоупотреблению наркотиками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22480" w:rsidP="00BF1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DC3B55" w:rsidRPr="00C60A06" w:rsidTr="00BF165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B55" w:rsidRPr="004E6F98" w:rsidRDefault="00DC3B55" w:rsidP="00BF165C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122480" w:rsidP="00BF16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381113,1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C60A06" w:rsidRDefault="00122480" w:rsidP="00BF1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60794,2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122480" w:rsidP="00BF1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16,0</w:t>
            </w:r>
          </w:p>
        </w:tc>
      </w:tr>
      <w:tr w:rsidR="00DC3B55" w:rsidRPr="00C60A06" w:rsidTr="00BF165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4E6F98" w:rsidRDefault="00DC3B55" w:rsidP="00BF165C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122480" w:rsidP="00BF16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463714,2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Default="00122480" w:rsidP="00BF1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68954,0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122480" w:rsidP="00BF1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14,9</w:t>
            </w:r>
          </w:p>
        </w:tc>
      </w:tr>
    </w:tbl>
    <w:p w:rsidR="00E76944" w:rsidRPr="00941049" w:rsidRDefault="00E76944" w:rsidP="008C581A">
      <w:pPr>
        <w:pStyle w:val="ae"/>
        <w:ind w:firstLine="540"/>
        <w:jc w:val="both"/>
        <w:rPr>
          <w:sz w:val="28"/>
          <w:szCs w:val="28"/>
        </w:rPr>
      </w:pPr>
    </w:p>
    <w:p w:rsidR="007E02FB" w:rsidRPr="009A3D47" w:rsidRDefault="00BA1082" w:rsidP="008C581A">
      <w:pPr>
        <w:pStyle w:val="ae"/>
        <w:ind w:firstLine="540"/>
        <w:jc w:val="both"/>
        <w:rPr>
          <w:b/>
          <w:sz w:val="28"/>
          <w:szCs w:val="28"/>
        </w:rPr>
      </w:pPr>
      <w:r w:rsidRPr="009A3D47">
        <w:rPr>
          <w:b/>
          <w:sz w:val="28"/>
          <w:szCs w:val="28"/>
        </w:rPr>
        <w:t xml:space="preserve">3.3. Реализация национальных проектов на территории </w:t>
      </w:r>
      <w:proofErr w:type="spellStart"/>
      <w:r w:rsidRPr="009A3D47">
        <w:rPr>
          <w:b/>
          <w:sz w:val="28"/>
          <w:szCs w:val="28"/>
        </w:rPr>
        <w:t>Конышевского</w:t>
      </w:r>
      <w:proofErr w:type="spellEnd"/>
      <w:r w:rsidRPr="009A3D47">
        <w:rPr>
          <w:b/>
          <w:sz w:val="28"/>
          <w:szCs w:val="28"/>
        </w:rPr>
        <w:t xml:space="preserve"> района Курской области</w:t>
      </w:r>
    </w:p>
    <w:p w:rsidR="00947CA8" w:rsidRDefault="00FF6E58" w:rsidP="008C581A">
      <w:pPr>
        <w:pStyle w:val="ae"/>
        <w:ind w:firstLine="540"/>
        <w:jc w:val="both"/>
        <w:rPr>
          <w:sz w:val="28"/>
          <w:szCs w:val="28"/>
        </w:rPr>
      </w:pPr>
      <w:proofErr w:type="gramStart"/>
      <w:r w:rsidRPr="009A3D47">
        <w:rPr>
          <w:sz w:val="28"/>
          <w:szCs w:val="28"/>
        </w:rPr>
        <w:t xml:space="preserve">В бюджете </w:t>
      </w:r>
      <w:proofErr w:type="spellStart"/>
      <w:r w:rsidRPr="009A3D47">
        <w:rPr>
          <w:sz w:val="28"/>
          <w:szCs w:val="28"/>
        </w:rPr>
        <w:t>Конышевского</w:t>
      </w:r>
      <w:proofErr w:type="spellEnd"/>
      <w:r w:rsidRPr="009A3D47">
        <w:rPr>
          <w:sz w:val="28"/>
          <w:szCs w:val="28"/>
        </w:rPr>
        <w:t xml:space="preserve"> района Курско</w:t>
      </w:r>
      <w:r w:rsidR="005A3DA1" w:rsidRPr="009A3D47">
        <w:rPr>
          <w:sz w:val="28"/>
          <w:szCs w:val="28"/>
        </w:rPr>
        <w:t>й</w:t>
      </w:r>
      <w:r w:rsidRPr="009A3D47">
        <w:rPr>
          <w:sz w:val="28"/>
          <w:szCs w:val="28"/>
        </w:rPr>
        <w:t xml:space="preserve"> области на 202</w:t>
      </w:r>
      <w:r w:rsidR="00407805">
        <w:rPr>
          <w:sz w:val="28"/>
          <w:szCs w:val="28"/>
        </w:rPr>
        <w:t>4</w:t>
      </w:r>
      <w:r w:rsidRPr="009A3D47">
        <w:rPr>
          <w:sz w:val="28"/>
          <w:szCs w:val="28"/>
        </w:rPr>
        <w:t xml:space="preserve"> год предусмотрены расходы на финансовое обеспечение региональных проектов направленных на реализацию национальных проектов в</w:t>
      </w:r>
      <w:r w:rsidR="002B5C45" w:rsidRPr="009A3D47">
        <w:rPr>
          <w:sz w:val="28"/>
          <w:szCs w:val="28"/>
        </w:rPr>
        <w:t xml:space="preserve">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9A3D47" w:rsidRPr="009A3D47">
        <w:rPr>
          <w:sz w:val="28"/>
          <w:szCs w:val="28"/>
        </w:rPr>
        <w:t xml:space="preserve"> в сумме </w:t>
      </w:r>
      <w:r w:rsidR="00A95E69">
        <w:rPr>
          <w:sz w:val="28"/>
          <w:szCs w:val="28"/>
        </w:rPr>
        <w:t>54649,5</w:t>
      </w:r>
      <w:r w:rsidRPr="009A3D47">
        <w:rPr>
          <w:sz w:val="28"/>
          <w:szCs w:val="28"/>
        </w:rPr>
        <w:t xml:space="preserve"> тыс.</w:t>
      </w:r>
      <w:r w:rsidR="00941049" w:rsidRPr="009A3D47">
        <w:rPr>
          <w:sz w:val="28"/>
          <w:szCs w:val="28"/>
        </w:rPr>
        <w:t xml:space="preserve"> </w:t>
      </w:r>
      <w:r w:rsidRPr="009A3D47">
        <w:rPr>
          <w:sz w:val="28"/>
          <w:szCs w:val="28"/>
        </w:rPr>
        <w:t>рублей.</w:t>
      </w:r>
      <w:proofErr w:type="gramEnd"/>
    </w:p>
    <w:p w:rsidR="003E63E2" w:rsidRPr="009A3D47" w:rsidRDefault="003E63E2" w:rsidP="008C581A">
      <w:pPr>
        <w:pStyle w:val="ae"/>
        <w:ind w:firstLine="540"/>
        <w:jc w:val="both"/>
        <w:rPr>
          <w:sz w:val="28"/>
          <w:szCs w:val="28"/>
        </w:rPr>
      </w:pPr>
    </w:p>
    <w:p w:rsidR="002B5C45" w:rsidRDefault="00941049" w:rsidP="008C581A">
      <w:pPr>
        <w:pStyle w:val="ae"/>
        <w:ind w:firstLine="540"/>
        <w:jc w:val="both"/>
        <w:rPr>
          <w:sz w:val="28"/>
          <w:szCs w:val="28"/>
        </w:rPr>
      </w:pPr>
      <w:r w:rsidRPr="009A3D47">
        <w:rPr>
          <w:sz w:val="28"/>
          <w:szCs w:val="28"/>
        </w:rPr>
        <w:t>Информация о расходах на реали</w:t>
      </w:r>
      <w:r w:rsidR="008B665A" w:rsidRPr="009A3D47">
        <w:rPr>
          <w:sz w:val="28"/>
          <w:szCs w:val="28"/>
        </w:rPr>
        <w:t xml:space="preserve">зацию национальных проектов за </w:t>
      </w:r>
      <w:r w:rsidR="009A3D47" w:rsidRPr="009A3D47">
        <w:rPr>
          <w:sz w:val="28"/>
          <w:szCs w:val="28"/>
        </w:rPr>
        <w:t>1 квартал</w:t>
      </w:r>
      <w:r w:rsidRPr="009A3D47">
        <w:rPr>
          <w:sz w:val="28"/>
          <w:szCs w:val="28"/>
        </w:rPr>
        <w:t xml:space="preserve"> </w:t>
      </w:r>
      <w:r w:rsidR="002D6C26" w:rsidRPr="009A3D47">
        <w:rPr>
          <w:sz w:val="28"/>
          <w:szCs w:val="28"/>
        </w:rPr>
        <w:t>202</w:t>
      </w:r>
      <w:r w:rsidR="00EA47A0">
        <w:rPr>
          <w:sz w:val="28"/>
          <w:szCs w:val="28"/>
        </w:rPr>
        <w:t>4</w:t>
      </w:r>
      <w:r w:rsidR="002D6C26" w:rsidRPr="009A3D47">
        <w:rPr>
          <w:sz w:val="28"/>
          <w:szCs w:val="28"/>
        </w:rPr>
        <w:t xml:space="preserve"> года </w:t>
      </w:r>
      <w:r w:rsidRPr="009A3D47">
        <w:rPr>
          <w:sz w:val="28"/>
          <w:szCs w:val="28"/>
        </w:rPr>
        <w:t>представлена в таблице</w:t>
      </w:r>
      <w:r w:rsidR="00407805">
        <w:rPr>
          <w:sz w:val="28"/>
          <w:szCs w:val="28"/>
        </w:rPr>
        <w:t>:</w:t>
      </w:r>
    </w:p>
    <w:p w:rsidR="003E63E2" w:rsidRPr="009A3D47" w:rsidRDefault="003E63E2" w:rsidP="008C581A">
      <w:pPr>
        <w:pStyle w:val="ae"/>
        <w:ind w:firstLine="540"/>
        <w:jc w:val="both"/>
        <w:rPr>
          <w:sz w:val="28"/>
          <w:szCs w:val="28"/>
        </w:rPr>
      </w:pPr>
    </w:p>
    <w:p w:rsidR="00941049" w:rsidRPr="00BA26E4" w:rsidRDefault="00947CA8" w:rsidP="00941049">
      <w:pPr>
        <w:pStyle w:val="ae"/>
        <w:ind w:firstLine="540"/>
        <w:jc w:val="center"/>
        <w:rPr>
          <w:b/>
          <w:sz w:val="28"/>
          <w:szCs w:val="28"/>
        </w:rPr>
      </w:pPr>
      <w:r w:rsidRPr="00BA26E4">
        <w:rPr>
          <w:b/>
          <w:sz w:val="28"/>
          <w:szCs w:val="28"/>
        </w:rPr>
        <w:t>Расходы на реализацию национальных пр</w:t>
      </w:r>
      <w:r w:rsidR="00BC16BC" w:rsidRPr="00BA26E4">
        <w:rPr>
          <w:b/>
          <w:sz w:val="28"/>
          <w:szCs w:val="28"/>
        </w:rPr>
        <w:t xml:space="preserve">оектов </w:t>
      </w:r>
    </w:p>
    <w:p w:rsidR="00947CA8" w:rsidRPr="00BA26E4" w:rsidRDefault="00BC16BC" w:rsidP="00941049">
      <w:pPr>
        <w:pStyle w:val="ae"/>
        <w:ind w:firstLine="540"/>
        <w:jc w:val="center"/>
        <w:rPr>
          <w:b/>
          <w:sz w:val="28"/>
          <w:szCs w:val="28"/>
        </w:rPr>
      </w:pPr>
      <w:r w:rsidRPr="00BA26E4">
        <w:rPr>
          <w:b/>
          <w:sz w:val="28"/>
          <w:szCs w:val="28"/>
        </w:rPr>
        <w:t xml:space="preserve">за </w:t>
      </w:r>
      <w:r w:rsidR="00BA26E4" w:rsidRPr="00BA26E4">
        <w:rPr>
          <w:b/>
          <w:sz w:val="28"/>
          <w:szCs w:val="28"/>
        </w:rPr>
        <w:t>1 квартал</w:t>
      </w:r>
      <w:r w:rsidRPr="00BA26E4">
        <w:rPr>
          <w:b/>
          <w:sz w:val="28"/>
          <w:szCs w:val="28"/>
        </w:rPr>
        <w:t xml:space="preserve"> 202</w:t>
      </w:r>
      <w:r w:rsidR="00EA47A0">
        <w:rPr>
          <w:b/>
          <w:sz w:val="28"/>
          <w:szCs w:val="28"/>
        </w:rPr>
        <w:t>4</w:t>
      </w:r>
      <w:r w:rsidRPr="00BA26E4">
        <w:rPr>
          <w:b/>
          <w:sz w:val="28"/>
          <w:szCs w:val="28"/>
        </w:rPr>
        <w:t xml:space="preserve"> года</w:t>
      </w:r>
    </w:p>
    <w:p w:rsidR="007E02FB" w:rsidRPr="00BA26E4" w:rsidRDefault="00947CA8" w:rsidP="00947CA8">
      <w:pPr>
        <w:pStyle w:val="ae"/>
        <w:ind w:firstLine="540"/>
        <w:jc w:val="right"/>
        <w:rPr>
          <w:sz w:val="20"/>
        </w:rPr>
      </w:pPr>
      <w:proofErr w:type="spellStart"/>
      <w:r w:rsidRPr="00BA26E4">
        <w:rPr>
          <w:sz w:val="20"/>
        </w:rPr>
        <w:t>тыс</w:t>
      </w:r>
      <w:proofErr w:type="gramStart"/>
      <w:r w:rsidRPr="00BA26E4">
        <w:rPr>
          <w:sz w:val="20"/>
        </w:rPr>
        <w:t>.р</w:t>
      </w:r>
      <w:proofErr w:type="gramEnd"/>
      <w:r w:rsidRPr="00BA26E4">
        <w:rPr>
          <w:sz w:val="20"/>
        </w:rPr>
        <w:t>ублей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1701"/>
        <w:gridCol w:w="1276"/>
      </w:tblGrid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 xml:space="preserve">№ </w:t>
            </w:r>
            <w:proofErr w:type="gramStart"/>
            <w:r w:rsidRPr="00AD0B63">
              <w:rPr>
                <w:rFonts w:eastAsia="Calibri"/>
                <w:b/>
              </w:rPr>
              <w:t>п</w:t>
            </w:r>
            <w:proofErr w:type="gramEnd"/>
            <w:r w:rsidRPr="00AD0B63">
              <w:rPr>
                <w:rFonts w:eastAsia="Calibri"/>
                <w:b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Наименование национального проекта (регионального проекта)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Утверждено на</w:t>
            </w:r>
          </w:p>
          <w:p w:rsidR="006C2332" w:rsidRPr="00AD0B63" w:rsidRDefault="006C2332" w:rsidP="00BF165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3</w:t>
            </w:r>
            <w:r w:rsidRPr="00AD0B63">
              <w:rPr>
                <w:rFonts w:eastAsia="Calibri"/>
                <w:b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Исполнено</w:t>
            </w:r>
          </w:p>
          <w:p w:rsidR="006C2332" w:rsidRPr="00AD0B63" w:rsidRDefault="006C2332" w:rsidP="00BF165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на</w:t>
            </w:r>
          </w:p>
          <w:p w:rsidR="006C2332" w:rsidRPr="00AD0B63" w:rsidRDefault="006C2332" w:rsidP="00BF165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01.01.202</w:t>
            </w:r>
            <w:r>
              <w:rPr>
                <w:rFonts w:eastAsia="Calibri"/>
                <w:b/>
              </w:rPr>
              <w:t>4</w:t>
            </w:r>
            <w:r w:rsidRPr="00AD0B63">
              <w:rPr>
                <w:rFonts w:eastAsia="Calibri"/>
                <w:b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6C2332" w:rsidRDefault="006C2332" w:rsidP="00BF165C">
            <w:pPr>
              <w:ind w:right="-108"/>
              <w:jc w:val="both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 xml:space="preserve">% </w:t>
            </w:r>
          </w:p>
          <w:p w:rsidR="006C2332" w:rsidRPr="00AD0B63" w:rsidRDefault="006C2332" w:rsidP="00BF165C">
            <w:pPr>
              <w:ind w:right="-108"/>
              <w:jc w:val="both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исполнения</w:t>
            </w:r>
          </w:p>
        </w:tc>
      </w:tr>
      <w:tr w:rsidR="006C2332" w:rsidRPr="00AD0B63" w:rsidTr="00BF165C">
        <w:trPr>
          <w:trHeight w:val="319"/>
        </w:trPr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«Образование»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1.1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Современная школа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4062,5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3901,6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79,6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81,3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1.2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Патриотическое воспитание граждан РФ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1112,6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278,1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25,0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1068,5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267,1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25,0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21,8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5,5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25,2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22,3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5,5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24,7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6C2332" w:rsidRDefault="006C2332" w:rsidP="00BF165C">
            <w:pPr>
              <w:jc w:val="both"/>
              <w:rPr>
                <w:rFonts w:eastAsia="Calibri"/>
                <w:b/>
              </w:rPr>
            </w:pPr>
            <w:r w:rsidRPr="006C2332">
              <w:rPr>
                <w:rFonts w:eastAsia="Calibri"/>
                <w:b/>
              </w:rPr>
              <w:t>1.3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6C2332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Успех каждого ребенка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6C2332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C2332">
              <w:rPr>
                <w:rFonts w:eastAsia="Calibri"/>
                <w:b/>
                <w:sz w:val="22"/>
                <w:szCs w:val="22"/>
              </w:rPr>
              <w:t>848,0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598,7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12,2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237,1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BF165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«Культура»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95E69" w:rsidRPr="00AD0B63" w:rsidTr="00BF165C">
        <w:tc>
          <w:tcPr>
            <w:tcW w:w="534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2.1</w:t>
            </w: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BF165C">
            <w:pPr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Культурная среда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47492,3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95E69" w:rsidRPr="00AD0B63" w:rsidTr="00BF165C">
        <w:tc>
          <w:tcPr>
            <w:tcW w:w="534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BF165C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14700,0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95E69" w:rsidRPr="00AD0B63" w:rsidTr="00BF165C">
        <w:tc>
          <w:tcPr>
            <w:tcW w:w="534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BF165C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5916,2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95E69" w:rsidRPr="00AD0B63" w:rsidTr="00BF165C">
        <w:tc>
          <w:tcPr>
            <w:tcW w:w="534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BF165C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26876,1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BF165C">
        <w:tc>
          <w:tcPr>
            <w:tcW w:w="534" w:type="dxa"/>
            <w:shd w:val="clear" w:color="auto" w:fill="auto"/>
          </w:tcPr>
          <w:p w:rsidR="006C2332" w:rsidRPr="008C0E42" w:rsidRDefault="006C2332" w:rsidP="00BF165C">
            <w:pPr>
              <w:jc w:val="both"/>
              <w:rPr>
                <w:rFonts w:eastAsia="Calibri"/>
                <w:b/>
              </w:rPr>
            </w:pPr>
            <w:r w:rsidRPr="008C0E42">
              <w:rPr>
                <w:rFonts w:eastAsia="Calibri"/>
                <w:b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6C2332" w:rsidRPr="008C0E42" w:rsidRDefault="006C2332" w:rsidP="00BF16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</w:t>
            </w:r>
            <w:r w:rsidRPr="008C0E42">
              <w:rPr>
                <w:rFonts w:eastAsia="Calibri"/>
                <w:b/>
                <w:sz w:val="22"/>
                <w:szCs w:val="22"/>
              </w:rPr>
              <w:t>Жилье и городская среда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8C0E42" w:rsidRDefault="006C2332" w:rsidP="00BF165C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C2332" w:rsidRPr="008C0E42" w:rsidRDefault="006C2332" w:rsidP="00BF165C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C2332" w:rsidRPr="008C0E42" w:rsidRDefault="006C2332" w:rsidP="00BF165C">
            <w:pPr>
              <w:jc w:val="both"/>
              <w:rPr>
                <w:rFonts w:eastAsia="Calibri"/>
                <w:b/>
              </w:rPr>
            </w:pPr>
          </w:p>
        </w:tc>
      </w:tr>
      <w:tr w:rsidR="00A95E69" w:rsidRPr="00AD0B63" w:rsidTr="00BF165C">
        <w:tc>
          <w:tcPr>
            <w:tcW w:w="534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3.1</w:t>
            </w: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BF165C">
            <w:pPr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Формирование комфортной городской среды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1134,1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95E69" w:rsidRPr="00AD0B63" w:rsidTr="00BF165C">
        <w:tc>
          <w:tcPr>
            <w:tcW w:w="534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BF165C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1063,5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95E69" w:rsidRPr="00AD0B63" w:rsidTr="00BF165C">
        <w:tc>
          <w:tcPr>
            <w:tcW w:w="534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BF165C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49,9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95E69" w:rsidRPr="00AD0B63" w:rsidTr="00BF165C">
        <w:tc>
          <w:tcPr>
            <w:tcW w:w="534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BF165C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20,7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BF16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9F6B2E" w:rsidRDefault="009F6B2E" w:rsidP="008C581A">
      <w:pPr>
        <w:pStyle w:val="ae"/>
        <w:ind w:firstLine="540"/>
        <w:jc w:val="both"/>
        <w:rPr>
          <w:sz w:val="28"/>
          <w:szCs w:val="28"/>
        </w:rPr>
      </w:pPr>
    </w:p>
    <w:p w:rsidR="002661ED" w:rsidRDefault="002661ED" w:rsidP="002661ED">
      <w:pPr>
        <w:pStyle w:val="af9"/>
        <w:numPr>
          <w:ilvl w:val="0"/>
          <w:numId w:val="11"/>
        </w:numPr>
        <w:ind w:left="0" w:firstLine="540"/>
        <w:jc w:val="both"/>
        <w:rPr>
          <w:b/>
          <w:sz w:val="28"/>
          <w:szCs w:val="28"/>
        </w:rPr>
      </w:pPr>
      <w:r w:rsidRPr="002661ED">
        <w:rPr>
          <w:b/>
          <w:sz w:val="28"/>
          <w:szCs w:val="28"/>
        </w:rPr>
        <w:t xml:space="preserve">Анализ источников финансирования дефицита </w:t>
      </w:r>
      <w:r>
        <w:rPr>
          <w:b/>
          <w:sz w:val="28"/>
          <w:szCs w:val="28"/>
        </w:rPr>
        <w:t xml:space="preserve">(профицита) </w:t>
      </w:r>
      <w:r w:rsidR="002D6C26">
        <w:rPr>
          <w:b/>
          <w:sz w:val="28"/>
          <w:szCs w:val="28"/>
        </w:rPr>
        <w:t>бюджета</w:t>
      </w:r>
      <w:r w:rsidR="00AE51F3">
        <w:rPr>
          <w:b/>
          <w:sz w:val="28"/>
          <w:szCs w:val="28"/>
        </w:rPr>
        <w:t xml:space="preserve"> </w:t>
      </w:r>
      <w:proofErr w:type="spellStart"/>
      <w:r w:rsidR="00AE51F3">
        <w:rPr>
          <w:b/>
          <w:sz w:val="28"/>
          <w:szCs w:val="28"/>
        </w:rPr>
        <w:t>Конышевского</w:t>
      </w:r>
      <w:proofErr w:type="spellEnd"/>
      <w:r w:rsidR="00AE51F3">
        <w:rPr>
          <w:b/>
          <w:sz w:val="28"/>
          <w:szCs w:val="28"/>
        </w:rPr>
        <w:t xml:space="preserve"> района Курской области</w:t>
      </w:r>
    </w:p>
    <w:p w:rsidR="002661ED" w:rsidRPr="00281AEE" w:rsidRDefault="002661ED" w:rsidP="002661ED">
      <w:pPr>
        <w:pStyle w:val="af9"/>
        <w:ind w:left="540"/>
        <w:jc w:val="both"/>
        <w:rPr>
          <w:b/>
          <w:sz w:val="24"/>
          <w:szCs w:val="24"/>
        </w:rPr>
      </w:pPr>
    </w:p>
    <w:p w:rsidR="00022410" w:rsidRDefault="00E07632" w:rsidP="002661ED">
      <w:pPr>
        <w:ind w:firstLine="540"/>
        <w:jc w:val="both"/>
        <w:rPr>
          <w:sz w:val="28"/>
        </w:rPr>
      </w:pPr>
      <w:r>
        <w:rPr>
          <w:sz w:val="28"/>
        </w:rPr>
        <w:t>По итогам</w:t>
      </w:r>
      <w:r w:rsidR="002661ED">
        <w:rPr>
          <w:sz w:val="28"/>
        </w:rPr>
        <w:t xml:space="preserve"> </w:t>
      </w:r>
      <w:r w:rsidR="002A1B63">
        <w:rPr>
          <w:sz w:val="28"/>
        </w:rPr>
        <w:t>1 квартала</w:t>
      </w:r>
      <w:r w:rsidR="008C581A" w:rsidRPr="002661ED">
        <w:rPr>
          <w:sz w:val="28"/>
          <w:szCs w:val="28"/>
        </w:rPr>
        <w:t xml:space="preserve"> 202</w:t>
      </w:r>
      <w:r w:rsidR="00C93A52">
        <w:rPr>
          <w:sz w:val="28"/>
          <w:szCs w:val="28"/>
        </w:rPr>
        <w:t>4</w:t>
      </w:r>
      <w:r w:rsidR="008C581A" w:rsidRPr="002661ED">
        <w:rPr>
          <w:sz w:val="28"/>
          <w:szCs w:val="28"/>
        </w:rPr>
        <w:t xml:space="preserve"> года </w:t>
      </w:r>
      <w:r w:rsidR="008C581A" w:rsidRPr="002661ED">
        <w:rPr>
          <w:sz w:val="28"/>
        </w:rPr>
        <w:t xml:space="preserve">бюджет </w:t>
      </w:r>
      <w:proofErr w:type="spellStart"/>
      <w:r>
        <w:rPr>
          <w:sz w:val="28"/>
        </w:rPr>
        <w:t>Конышевского</w:t>
      </w:r>
      <w:proofErr w:type="spellEnd"/>
      <w:r>
        <w:rPr>
          <w:sz w:val="28"/>
        </w:rPr>
        <w:t xml:space="preserve"> района Курской области </w:t>
      </w:r>
      <w:r w:rsidR="008C581A" w:rsidRPr="002661ED">
        <w:rPr>
          <w:sz w:val="28"/>
        </w:rPr>
        <w:t xml:space="preserve">исполнен с превышением поступивших доходов над произведенными расходами (профицит) в сумме </w:t>
      </w:r>
      <w:r w:rsidR="00C93A52">
        <w:rPr>
          <w:sz w:val="28"/>
        </w:rPr>
        <w:t>10031,7</w:t>
      </w:r>
      <w:r w:rsidR="008416B0">
        <w:rPr>
          <w:sz w:val="28"/>
        </w:rPr>
        <w:t xml:space="preserve"> </w:t>
      </w:r>
      <w:r w:rsidR="008C581A" w:rsidRPr="002661ED">
        <w:rPr>
          <w:sz w:val="28"/>
        </w:rPr>
        <w:t>тыс. рублей</w:t>
      </w:r>
      <w:r w:rsidR="00022410">
        <w:rPr>
          <w:sz w:val="28"/>
        </w:rPr>
        <w:t>.</w:t>
      </w:r>
    </w:p>
    <w:p w:rsidR="008C581A" w:rsidRDefault="002A1B63" w:rsidP="002661ED">
      <w:pPr>
        <w:ind w:firstLine="540"/>
        <w:jc w:val="both"/>
        <w:rPr>
          <w:sz w:val="28"/>
        </w:rPr>
      </w:pPr>
      <w:r>
        <w:rPr>
          <w:sz w:val="28"/>
        </w:rPr>
        <w:t xml:space="preserve"> В аналогичном периоде 202</w:t>
      </w:r>
      <w:r w:rsidR="00671595">
        <w:rPr>
          <w:sz w:val="28"/>
        </w:rPr>
        <w:t>3</w:t>
      </w:r>
      <w:r w:rsidR="00022410">
        <w:rPr>
          <w:sz w:val="28"/>
        </w:rPr>
        <w:t xml:space="preserve"> года профицит бюджета </w:t>
      </w:r>
      <w:proofErr w:type="spellStart"/>
      <w:r w:rsidR="00022410">
        <w:rPr>
          <w:sz w:val="28"/>
        </w:rPr>
        <w:t>Конышевского</w:t>
      </w:r>
      <w:proofErr w:type="spellEnd"/>
      <w:r w:rsidR="00022410">
        <w:rPr>
          <w:sz w:val="28"/>
        </w:rPr>
        <w:t xml:space="preserve"> района Курской области составил </w:t>
      </w:r>
      <w:r w:rsidR="00671595">
        <w:rPr>
          <w:sz w:val="28"/>
        </w:rPr>
        <w:t>49953,0</w:t>
      </w:r>
      <w:r w:rsidR="00022410">
        <w:rPr>
          <w:sz w:val="28"/>
        </w:rPr>
        <w:t xml:space="preserve"> тыс. рублей</w:t>
      </w:r>
      <w:r w:rsidR="008C581A" w:rsidRPr="002661ED">
        <w:rPr>
          <w:sz w:val="28"/>
        </w:rPr>
        <w:t xml:space="preserve">. </w:t>
      </w:r>
    </w:p>
    <w:p w:rsidR="00671595" w:rsidRDefault="00671595" w:rsidP="002661ED">
      <w:pPr>
        <w:ind w:firstLine="540"/>
        <w:jc w:val="both"/>
        <w:rPr>
          <w:sz w:val="28"/>
        </w:rPr>
      </w:pPr>
    </w:p>
    <w:p w:rsidR="002661ED" w:rsidRPr="00493E08" w:rsidRDefault="002661ED" w:rsidP="002661ED">
      <w:pPr>
        <w:pStyle w:val="af9"/>
        <w:numPr>
          <w:ilvl w:val="0"/>
          <w:numId w:val="11"/>
        </w:numPr>
        <w:ind w:left="0" w:firstLine="540"/>
        <w:jc w:val="both"/>
        <w:rPr>
          <w:b/>
          <w:sz w:val="28"/>
          <w:szCs w:val="28"/>
        </w:rPr>
      </w:pPr>
      <w:r w:rsidRPr="00493E08">
        <w:rPr>
          <w:b/>
          <w:sz w:val="28"/>
          <w:szCs w:val="28"/>
        </w:rPr>
        <w:t>Анализ состо</w:t>
      </w:r>
      <w:r w:rsidR="00E82219" w:rsidRPr="00493E08">
        <w:rPr>
          <w:b/>
          <w:sz w:val="28"/>
          <w:szCs w:val="28"/>
        </w:rPr>
        <w:t xml:space="preserve">яния муниципального </w:t>
      </w:r>
      <w:r w:rsidRPr="00493E08">
        <w:rPr>
          <w:b/>
          <w:sz w:val="28"/>
          <w:szCs w:val="28"/>
        </w:rPr>
        <w:t xml:space="preserve">долга </w:t>
      </w:r>
      <w:proofErr w:type="spellStart"/>
      <w:r w:rsidRPr="00493E08">
        <w:rPr>
          <w:b/>
          <w:sz w:val="28"/>
          <w:szCs w:val="28"/>
        </w:rPr>
        <w:t>Конышевского</w:t>
      </w:r>
      <w:proofErr w:type="spellEnd"/>
      <w:r w:rsidRPr="00493E08">
        <w:rPr>
          <w:b/>
          <w:sz w:val="28"/>
          <w:szCs w:val="28"/>
        </w:rPr>
        <w:t xml:space="preserve"> района Курской области</w:t>
      </w:r>
    </w:p>
    <w:p w:rsidR="002661ED" w:rsidRPr="00281AEE" w:rsidRDefault="002661ED" w:rsidP="0093172C">
      <w:pPr>
        <w:pStyle w:val="afc"/>
      </w:pPr>
    </w:p>
    <w:p w:rsidR="00192C9B" w:rsidRDefault="00192C9B" w:rsidP="008C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C581A" w:rsidRPr="00215A32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8C581A" w:rsidRPr="00215A32">
        <w:rPr>
          <w:sz w:val="28"/>
          <w:szCs w:val="28"/>
        </w:rPr>
        <w:t xml:space="preserve"> Представительного Собрания </w:t>
      </w:r>
      <w:proofErr w:type="spellStart"/>
      <w:r w:rsidR="008C581A" w:rsidRPr="00215A32">
        <w:rPr>
          <w:sz w:val="28"/>
          <w:szCs w:val="28"/>
        </w:rPr>
        <w:t>Конышевского</w:t>
      </w:r>
      <w:proofErr w:type="spellEnd"/>
      <w:r w:rsidR="008C581A" w:rsidRPr="00215A32">
        <w:rPr>
          <w:sz w:val="28"/>
          <w:szCs w:val="28"/>
        </w:rPr>
        <w:t xml:space="preserve"> района Курской области </w:t>
      </w:r>
      <w:r w:rsidR="0019349A" w:rsidRPr="00E84607">
        <w:rPr>
          <w:color w:val="000000" w:themeColor="text1"/>
          <w:sz w:val="28"/>
          <w:szCs w:val="28"/>
        </w:rPr>
        <w:t>от 2</w:t>
      </w:r>
      <w:r w:rsidR="0019349A">
        <w:rPr>
          <w:color w:val="000000" w:themeColor="text1"/>
          <w:sz w:val="28"/>
          <w:szCs w:val="28"/>
        </w:rPr>
        <w:t xml:space="preserve">1.12.2023 №365 </w:t>
      </w:r>
      <w:r w:rsidR="0019349A" w:rsidRPr="00E8460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="0019349A"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="0019349A" w:rsidRPr="00E84607">
        <w:rPr>
          <w:color w:val="000000" w:themeColor="text1"/>
          <w:sz w:val="28"/>
          <w:szCs w:val="28"/>
        </w:rPr>
        <w:t xml:space="preserve"> района Курской области на 202</w:t>
      </w:r>
      <w:r w:rsidR="0019349A">
        <w:rPr>
          <w:color w:val="000000" w:themeColor="text1"/>
          <w:sz w:val="28"/>
          <w:szCs w:val="28"/>
        </w:rPr>
        <w:t>4</w:t>
      </w:r>
      <w:r w:rsidR="0019349A" w:rsidRPr="00E846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19349A">
        <w:rPr>
          <w:color w:val="000000" w:themeColor="text1"/>
          <w:sz w:val="28"/>
          <w:szCs w:val="28"/>
        </w:rPr>
        <w:t>5</w:t>
      </w:r>
      <w:r w:rsidR="0019349A" w:rsidRPr="00E84607">
        <w:rPr>
          <w:color w:val="000000" w:themeColor="text1"/>
          <w:sz w:val="28"/>
          <w:szCs w:val="28"/>
        </w:rPr>
        <w:t xml:space="preserve"> и 202</w:t>
      </w:r>
      <w:r w:rsidR="0019349A">
        <w:rPr>
          <w:color w:val="000000" w:themeColor="text1"/>
          <w:sz w:val="28"/>
          <w:szCs w:val="28"/>
        </w:rPr>
        <w:t>6 годов» (в редакции решения от 26</w:t>
      </w:r>
      <w:r w:rsidR="0019349A" w:rsidRPr="00E84607">
        <w:rPr>
          <w:color w:val="000000" w:themeColor="text1"/>
          <w:sz w:val="28"/>
          <w:szCs w:val="28"/>
        </w:rPr>
        <w:t>.0</w:t>
      </w:r>
      <w:r w:rsidR="0019349A">
        <w:rPr>
          <w:color w:val="000000" w:themeColor="text1"/>
          <w:sz w:val="28"/>
          <w:szCs w:val="28"/>
        </w:rPr>
        <w:t>2.2024 №382</w:t>
      </w:r>
      <w:r w:rsidR="0019349A" w:rsidRPr="00E84607">
        <w:rPr>
          <w:color w:val="000000" w:themeColor="text1"/>
          <w:sz w:val="28"/>
          <w:szCs w:val="28"/>
        </w:rPr>
        <w:t xml:space="preserve">) </w:t>
      </w:r>
      <w:r w:rsidR="00313BE6">
        <w:rPr>
          <w:sz w:val="28"/>
          <w:szCs w:val="28"/>
        </w:rPr>
        <w:t>установлено</w:t>
      </w:r>
      <w:r>
        <w:rPr>
          <w:sz w:val="28"/>
          <w:szCs w:val="28"/>
        </w:rPr>
        <w:t>:</w:t>
      </w:r>
    </w:p>
    <w:p w:rsidR="008C581A" w:rsidRPr="00215A32" w:rsidRDefault="00192C9B" w:rsidP="008C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C581A" w:rsidRPr="00215A32">
        <w:rPr>
          <w:sz w:val="28"/>
          <w:szCs w:val="28"/>
        </w:rPr>
        <w:t xml:space="preserve"> объем муниципального долга </w:t>
      </w:r>
      <w:proofErr w:type="spellStart"/>
      <w:r w:rsidR="008C581A" w:rsidRPr="00215A32">
        <w:rPr>
          <w:sz w:val="28"/>
          <w:szCs w:val="28"/>
        </w:rPr>
        <w:t>Конышевского</w:t>
      </w:r>
      <w:proofErr w:type="spellEnd"/>
      <w:r w:rsidR="008C581A" w:rsidRPr="00215A32">
        <w:rPr>
          <w:sz w:val="28"/>
          <w:szCs w:val="28"/>
        </w:rPr>
        <w:t xml:space="preserve"> района Курской области на 202</w:t>
      </w:r>
      <w:r w:rsidR="00F41341">
        <w:rPr>
          <w:sz w:val="28"/>
          <w:szCs w:val="28"/>
        </w:rPr>
        <w:t>4</w:t>
      </w:r>
      <w:r w:rsidR="008C581A" w:rsidRPr="00215A32">
        <w:rPr>
          <w:sz w:val="28"/>
          <w:szCs w:val="28"/>
        </w:rPr>
        <w:t xml:space="preserve"> год </w:t>
      </w:r>
      <w:r w:rsidR="00313BE6">
        <w:rPr>
          <w:sz w:val="28"/>
          <w:szCs w:val="28"/>
        </w:rPr>
        <w:t>не должен превышать</w:t>
      </w:r>
      <w:r w:rsidR="00261C6E">
        <w:rPr>
          <w:sz w:val="28"/>
          <w:szCs w:val="28"/>
        </w:rPr>
        <w:t xml:space="preserve"> </w:t>
      </w:r>
      <w:r w:rsidR="00F41341">
        <w:rPr>
          <w:sz w:val="28"/>
          <w:szCs w:val="28"/>
        </w:rPr>
        <w:t>62597,2</w:t>
      </w:r>
      <w:r w:rsidR="008C581A" w:rsidRPr="00215A32">
        <w:rPr>
          <w:sz w:val="28"/>
          <w:szCs w:val="28"/>
        </w:rPr>
        <w:t xml:space="preserve"> тыс. рублей;</w:t>
      </w:r>
    </w:p>
    <w:p w:rsidR="000666E1" w:rsidRDefault="00192C9B" w:rsidP="00AE51F3">
      <w:pPr>
        <w:pStyle w:val="afc"/>
        <w:ind w:firstLine="708"/>
        <w:jc w:val="both"/>
        <w:rPr>
          <w:sz w:val="28"/>
          <w:szCs w:val="28"/>
        </w:rPr>
      </w:pPr>
      <w:r w:rsidRPr="000666E1">
        <w:rPr>
          <w:sz w:val="28"/>
          <w:szCs w:val="28"/>
        </w:rPr>
        <w:t xml:space="preserve">- верхний предел муниципального  внутреннего долга  </w:t>
      </w:r>
      <w:proofErr w:type="spellStart"/>
      <w:r w:rsidRPr="000666E1">
        <w:rPr>
          <w:sz w:val="28"/>
          <w:szCs w:val="28"/>
        </w:rPr>
        <w:t>Конышевского</w:t>
      </w:r>
      <w:proofErr w:type="spellEnd"/>
      <w:r w:rsidRPr="000666E1">
        <w:rPr>
          <w:sz w:val="28"/>
          <w:szCs w:val="28"/>
        </w:rPr>
        <w:t xml:space="preserve"> района Курской области на 1 января 202</w:t>
      </w:r>
      <w:r w:rsidR="00F41341">
        <w:rPr>
          <w:sz w:val="28"/>
          <w:szCs w:val="28"/>
        </w:rPr>
        <w:t>4</w:t>
      </w:r>
      <w:r w:rsidRPr="000666E1">
        <w:rPr>
          <w:sz w:val="28"/>
          <w:szCs w:val="28"/>
        </w:rPr>
        <w:t xml:space="preserve"> года по долговым обязательствам </w:t>
      </w:r>
      <w:proofErr w:type="spellStart"/>
      <w:r w:rsidRPr="000666E1">
        <w:rPr>
          <w:sz w:val="28"/>
          <w:szCs w:val="28"/>
        </w:rPr>
        <w:t>Конышевского</w:t>
      </w:r>
      <w:proofErr w:type="spellEnd"/>
      <w:r w:rsidRPr="000666E1">
        <w:rPr>
          <w:sz w:val="28"/>
          <w:szCs w:val="28"/>
        </w:rPr>
        <w:t xml:space="preserve"> района Курской области в сумме 0 рублей, в том числе по муни</w:t>
      </w:r>
      <w:r w:rsidR="00313BE6">
        <w:rPr>
          <w:sz w:val="28"/>
          <w:szCs w:val="28"/>
        </w:rPr>
        <w:t>ципальным  гарантиям – 0 рублей;</w:t>
      </w:r>
    </w:p>
    <w:p w:rsidR="008C581A" w:rsidRPr="00215A32" w:rsidRDefault="002661ED" w:rsidP="008C581A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Муниципальный долг </w:t>
      </w:r>
      <w:proofErr w:type="spellStart"/>
      <w:r w:rsidR="008C581A" w:rsidRPr="00215A32">
        <w:rPr>
          <w:iCs/>
          <w:sz w:val="28"/>
          <w:szCs w:val="28"/>
        </w:rPr>
        <w:t>Конышевского</w:t>
      </w:r>
      <w:proofErr w:type="spellEnd"/>
      <w:r w:rsidR="008C581A" w:rsidRPr="00215A32">
        <w:rPr>
          <w:iCs/>
          <w:sz w:val="28"/>
          <w:szCs w:val="28"/>
        </w:rPr>
        <w:t xml:space="preserve"> района Курской области </w:t>
      </w:r>
      <w:r w:rsidR="00313BE6">
        <w:rPr>
          <w:iCs/>
          <w:sz w:val="28"/>
          <w:szCs w:val="28"/>
        </w:rPr>
        <w:t>по состоянию на 01.04</w:t>
      </w:r>
      <w:r>
        <w:rPr>
          <w:iCs/>
          <w:sz w:val="28"/>
          <w:szCs w:val="28"/>
        </w:rPr>
        <w:t>.202</w:t>
      </w:r>
      <w:r w:rsidR="00F4134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  <w:r w:rsidR="008C581A" w:rsidRPr="00215A32">
        <w:rPr>
          <w:iCs/>
          <w:sz w:val="28"/>
          <w:szCs w:val="28"/>
        </w:rPr>
        <w:t>года отсутств</w:t>
      </w:r>
      <w:r>
        <w:rPr>
          <w:iCs/>
          <w:sz w:val="28"/>
          <w:szCs w:val="28"/>
        </w:rPr>
        <w:t>у</w:t>
      </w:r>
      <w:r w:rsidR="008C581A" w:rsidRPr="00215A3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т</w:t>
      </w:r>
      <w:r w:rsidR="008C581A" w:rsidRPr="00215A32">
        <w:rPr>
          <w:iCs/>
          <w:sz w:val="28"/>
          <w:szCs w:val="28"/>
        </w:rPr>
        <w:t>.</w:t>
      </w:r>
    </w:p>
    <w:p w:rsidR="000F61B4" w:rsidRDefault="000F61B4" w:rsidP="0093172C">
      <w:pPr>
        <w:pStyle w:val="afc"/>
      </w:pPr>
    </w:p>
    <w:p w:rsidR="000F61B4" w:rsidRPr="008B665A" w:rsidRDefault="000F61B4" w:rsidP="003E63E2">
      <w:pPr>
        <w:ind w:firstLine="567"/>
        <w:jc w:val="center"/>
        <w:rPr>
          <w:b/>
          <w:sz w:val="28"/>
          <w:szCs w:val="28"/>
        </w:rPr>
      </w:pPr>
      <w:r w:rsidRPr="008B665A">
        <w:rPr>
          <w:b/>
          <w:sz w:val="28"/>
          <w:szCs w:val="28"/>
        </w:rPr>
        <w:t>ВЫВОДЫ:</w:t>
      </w:r>
    </w:p>
    <w:p w:rsidR="000F61B4" w:rsidRPr="000F61B4" w:rsidRDefault="000F61B4" w:rsidP="0093172C">
      <w:pPr>
        <w:pStyle w:val="afc"/>
      </w:pPr>
    </w:p>
    <w:p w:rsidR="00915B95" w:rsidRPr="00915B95" w:rsidRDefault="00915B95" w:rsidP="00915B95">
      <w:pPr>
        <w:pStyle w:val="af9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915B95">
        <w:rPr>
          <w:sz w:val="28"/>
          <w:szCs w:val="28"/>
        </w:rPr>
        <w:t>Б</w:t>
      </w:r>
      <w:r w:rsidR="000F61B4" w:rsidRPr="00915B95">
        <w:rPr>
          <w:sz w:val="28"/>
          <w:szCs w:val="28"/>
        </w:rPr>
        <w:t xml:space="preserve">юджет </w:t>
      </w:r>
      <w:proofErr w:type="spellStart"/>
      <w:r w:rsidR="000F61B4" w:rsidRPr="00915B95">
        <w:rPr>
          <w:sz w:val="28"/>
          <w:szCs w:val="28"/>
        </w:rPr>
        <w:t>Конышевского</w:t>
      </w:r>
      <w:proofErr w:type="spellEnd"/>
      <w:r w:rsidR="000F61B4" w:rsidRPr="00915B95">
        <w:rPr>
          <w:sz w:val="28"/>
          <w:szCs w:val="28"/>
        </w:rPr>
        <w:t xml:space="preserve"> района Курской области </w:t>
      </w:r>
      <w:r w:rsidRPr="00915B95">
        <w:rPr>
          <w:sz w:val="28"/>
          <w:szCs w:val="28"/>
        </w:rPr>
        <w:t xml:space="preserve">за </w:t>
      </w:r>
      <w:r w:rsidR="002864B3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202</w:t>
      </w:r>
      <w:r w:rsidR="005904C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915B95">
        <w:rPr>
          <w:sz w:val="28"/>
          <w:szCs w:val="28"/>
        </w:rPr>
        <w:t>исполнен:</w:t>
      </w:r>
    </w:p>
    <w:p w:rsidR="000F61B4" w:rsidRDefault="00915B95" w:rsidP="0028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</w:t>
      </w:r>
      <w:r w:rsidR="000F61B4" w:rsidRPr="00915B95">
        <w:rPr>
          <w:sz w:val="28"/>
          <w:szCs w:val="28"/>
        </w:rPr>
        <w:t xml:space="preserve">в сумме </w:t>
      </w:r>
      <w:r w:rsidR="005904C3">
        <w:rPr>
          <w:sz w:val="28"/>
          <w:szCs w:val="28"/>
        </w:rPr>
        <w:t>78985,7</w:t>
      </w:r>
      <w:r>
        <w:rPr>
          <w:sz w:val="28"/>
          <w:szCs w:val="28"/>
        </w:rPr>
        <w:t xml:space="preserve"> тыс. рублей или на </w:t>
      </w:r>
      <w:r w:rsidR="005904C3">
        <w:rPr>
          <w:sz w:val="28"/>
          <w:szCs w:val="28"/>
        </w:rPr>
        <w:t>22,2</w:t>
      </w:r>
      <w:r w:rsidR="000F61B4" w:rsidRPr="00915B95">
        <w:rPr>
          <w:sz w:val="28"/>
          <w:szCs w:val="28"/>
        </w:rPr>
        <w:t>% от прогнозируемого поступления доходов</w:t>
      </w:r>
      <w:r>
        <w:rPr>
          <w:sz w:val="28"/>
          <w:szCs w:val="28"/>
        </w:rPr>
        <w:t>;</w:t>
      </w:r>
    </w:p>
    <w:p w:rsidR="00915B95" w:rsidRDefault="00915B95" w:rsidP="0028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в сумме </w:t>
      </w:r>
      <w:r w:rsidR="005904C3">
        <w:rPr>
          <w:sz w:val="28"/>
          <w:szCs w:val="28"/>
        </w:rPr>
        <w:t>68954,0</w:t>
      </w:r>
      <w:r>
        <w:rPr>
          <w:sz w:val="28"/>
          <w:szCs w:val="28"/>
        </w:rPr>
        <w:t xml:space="preserve"> тыс. рублей или на </w:t>
      </w:r>
      <w:r w:rsidR="005904C3">
        <w:rPr>
          <w:sz w:val="28"/>
          <w:szCs w:val="28"/>
        </w:rPr>
        <w:t>15,4</w:t>
      </w:r>
      <w:r>
        <w:rPr>
          <w:sz w:val="28"/>
          <w:szCs w:val="28"/>
        </w:rPr>
        <w:t xml:space="preserve">% от утвержденных годовых назначений и на </w:t>
      </w:r>
      <w:r w:rsidR="005904C3">
        <w:rPr>
          <w:sz w:val="28"/>
          <w:szCs w:val="28"/>
        </w:rPr>
        <w:t>14,9</w:t>
      </w:r>
      <w:r>
        <w:rPr>
          <w:sz w:val="28"/>
          <w:szCs w:val="28"/>
        </w:rPr>
        <w:t>% к сводной бюджетной росписи;</w:t>
      </w:r>
    </w:p>
    <w:p w:rsidR="00915B95" w:rsidRDefault="00915B95" w:rsidP="0028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профицитом в сумме </w:t>
      </w:r>
      <w:r w:rsidR="005904C3">
        <w:rPr>
          <w:sz w:val="28"/>
          <w:szCs w:val="28"/>
        </w:rPr>
        <w:t>10031,7</w:t>
      </w:r>
      <w:r>
        <w:rPr>
          <w:sz w:val="28"/>
          <w:szCs w:val="28"/>
        </w:rPr>
        <w:t xml:space="preserve"> тыс. рублей при запланированном дефиците </w:t>
      </w:r>
      <w:r w:rsidR="005904C3">
        <w:rPr>
          <w:sz w:val="28"/>
          <w:szCs w:val="28"/>
        </w:rPr>
        <w:t>108640,0</w:t>
      </w:r>
      <w:r>
        <w:rPr>
          <w:sz w:val="28"/>
          <w:szCs w:val="28"/>
        </w:rPr>
        <w:t xml:space="preserve"> тыс. рублей.</w:t>
      </w:r>
    </w:p>
    <w:p w:rsidR="00915B95" w:rsidRPr="00C60A06" w:rsidRDefault="00915B95" w:rsidP="00915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 </w:t>
      </w:r>
      <w:r w:rsidR="00973961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бюджет</w:t>
      </w:r>
      <w:r w:rsidR="00C34800">
        <w:rPr>
          <w:sz w:val="28"/>
          <w:szCs w:val="28"/>
        </w:rPr>
        <w:t>а</w:t>
      </w:r>
      <w:r w:rsidRPr="00C60A06">
        <w:rPr>
          <w:sz w:val="28"/>
          <w:szCs w:val="28"/>
        </w:rPr>
        <w:t xml:space="preserve">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по доходам </w:t>
      </w:r>
      <w:r w:rsidR="00973961">
        <w:rPr>
          <w:sz w:val="28"/>
          <w:szCs w:val="28"/>
        </w:rPr>
        <w:t>составило</w:t>
      </w:r>
      <w:r w:rsidR="0031158C">
        <w:rPr>
          <w:sz w:val="28"/>
          <w:szCs w:val="28"/>
        </w:rPr>
        <w:t xml:space="preserve"> </w:t>
      </w:r>
      <w:r w:rsidR="005904C3">
        <w:rPr>
          <w:sz w:val="28"/>
          <w:szCs w:val="28"/>
        </w:rPr>
        <w:t>78985,7</w:t>
      </w:r>
      <w:r w:rsidR="0031158C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 или на</w:t>
      </w:r>
      <w:r w:rsidR="0031158C">
        <w:rPr>
          <w:sz w:val="28"/>
          <w:szCs w:val="28"/>
        </w:rPr>
        <w:t xml:space="preserve"> </w:t>
      </w:r>
      <w:r w:rsidR="005904C3">
        <w:rPr>
          <w:sz w:val="28"/>
          <w:szCs w:val="28"/>
        </w:rPr>
        <w:t>22,2</w:t>
      </w:r>
      <w:r w:rsidRPr="00C60A06">
        <w:rPr>
          <w:sz w:val="28"/>
          <w:szCs w:val="28"/>
        </w:rPr>
        <w:t>% от прог</w:t>
      </w:r>
      <w:r w:rsidR="00973961">
        <w:rPr>
          <w:sz w:val="28"/>
          <w:szCs w:val="28"/>
        </w:rPr>
        <w:t>нозируемого поступления доходов</w:t>
      </w:r>
      <w:r w:rsidRPr="00C60A06">
        <w:rPr>
          <w:sz w:val="28"/>
          <w:szCs w:val="28"/>
        </w:rPr>
        <w:t>.</w:t>
      </w:r>
    </w:p>
    <w:p w:rsidR="000F61B4" w:rsidRPr="000F61B4" w:rsidRDefault="000F61B4" w:rsidP="000F61B4">
      <w:pPr>
        <w:ind w:firstLine="567"/>
        <w:jc w:val="both"/>
        <w:rPr>
          <w:sz w:val="28"/>
          <w:szCs w:val="28"/>
        </w:rPr>
      </w:pPr>
      <w:r w:rsidRPr="000F61B4">
        <w:rPr>
          <w:sz w:val="28"/>
          <w:szCs w:val="28"/>
        </w:rPr>
        <w:t xml:space="preserve">Налоговые и неналоговые доходы бюджета </w:t>
      </w:r>
      <w:r w:rsidR="00915B95">
        <w:rPr>
          <w:sz w:val="28"/>
          <w:szCs w:val="28"/>
        </w:rPr>
        <w:t>района</w:t>
      </w:r>
      <w:r w:rsidRPr="000F61B4">
        <w:rPr>
          <w:sz w:val="28"/>
          <w:szCs w:val="28"/>
        </w:rPr>
        <w:t xml:space="preserve"> исполнены в </w:t>
      </w:r>
      <w:r w:rsidR="00973961">
        <w:rPr>
          <w:sz w:val="28"/>
          <w:szCs w:val="28"/>
        </w:rPr>
        <w:t>сумме</w:t>
      </w:r>
      <w:r w:rsidRPr="000F61B4">
        <w:rPr>
          <w:sz w:val="28"/>
          <w:szCs w:val="28"/>
        </w:rPr>
        <w:t xml:space="preserve"> </w:t>
      </w:r>
      <w:r w:rsidR="005904C3">
        <w:rPr>
          <w:sz w:val="28"/>
          <w:szCs w:val="28"/>
        </w:rPr>
        <w:t>35490,5</w:t>
      </w:r>
      <w:r w:rsidR="008F5F1A">
        <w:rPr>
          <w:sz w:val="28"/>
          <w:szCs w:val="28"/>
        </w:rPr>
        <w:t xml:space="preserve"> тыс. рублей или на </w:t>
      </w:r>
      <w:r w:rsidR="005904C3">
        <w:rPr>
          <w:sz w:val="28"/>
          <w:szCs w:val="28"/>
        </w:rPr>
        <w:t>25,1</w:t>
      </w:r>
      <w:r w:rsidRPr="000F61B4">
        <w:rPr>
          <w:sz w:val="28"/>
          <w:szCs w:val="28"/>
        </w:rPr>
        <w:t>% к общему объему прогнозируемых доходов, приходящихся на налоговые и неналоговые доходы.</w:t>
      </w:r>
    </w:p>
    <w:p w:rsidR="000F61B4" w:rsidRPr="00E718B2" w:rsidRDefault="000F61B4" w:rsidP="000F61B4">
      <w:pPr>
        <w:ind w:firstLine="567"/>
        <w:jc w:val="both"/>
        <w:rPr>
          <w:sz w:val="28"/>
          <w:szCs w:val="28"/>
        </w:rPr>
      </w:pPr>
      <w:r w:rsidRPr="00E718B2">
        <w:rPr>
          <w:sz w:val="28"/>
          <w:szCs w:val="28"/>
        </w:rPr>
        <w:t xml:space="preserve">Безвозмездные поступления за </w:t>
      </w:r>
      <w:r w:rsidR="000B4737" w:rsidRPr="00E718B2">
        <w:rPr>
          <w:sz w:val="28"/>
          <w:szCs w:val="28"/>
        </w:rPr>
        <w:t>1 квартал</w:t>
      </w:r>
      <w:r w:rsidRPr="00E718B2">
        <w:rPr>
          <w:sz w:val="28"/>
          <w:szCs w:val="28"/>
        </w:rPr>
        <w:t xml:space="preserve"> 202</w:t>
      </w:r>
      <w:r w:rsidR="005904C3">
        <w:rPr>
          <w:sz w:val="28"/>
          <w:szCs w:val="28"/>
        </w:rPr>
        <w:t>4</w:t>
      </w:r>
      <w:r w:rsidRPr="00E718B2">
        <w:rPr>
          <w:sz w:val="28"/>
          <w:szCs w:val="28"/>
        </w:rPr>
        <w:t xml:space="preserve"> года составили </w:t>
      </w:r>
      <w:r w:rsidR="005904C3">
        <w:rPr>
          <w:sz w:val="28"/>
          <w:szCs w:val="28"/>
        </w:rPr>
        <w:t>43495,2</w:t>
      </w:r>
      <w:r w:rsidRPr="00E718B2">
        <w:rPr>
          <w:sz w:val="28"/>
          <w:szCs w:val="28"/>
        </w:rPr>
        <w:t xml:space="preserve"> тыс. рублей </w:t>
      </w:r>
      <w:r w:rsidR="00973961" w:rsidRPr="00E718B2">
        <w:rPr>
          <w:sz w:val="28"/>
          <w:szCs w:val="28"/>
        </w:rPr>
        <w:t xml:space="preserve">или </w:t>
      </w:r>
      <w:r w:rsidR="00723497" w:rsidRPr="00E718B2">
        <w:rPr>
          <w:sz w:val="28"/>
          <w:szCs w:val="28"/>
        </w:rPr>
        <w:t xml:space="preserve">на </w:t>
      </w:r>
      <w:r w:rsidR="005904C3">
        <w:rPr>
          <w:sz w:val="28"/>
          <w:szCs w:val="28"/>
        </w:rPr>
        <w:t>20,3</w:t>
      </w:r>
      <w:r w:rsidR="00973961" w:rsidRPr="00E718B2">
        <w:rPr>
          <w:sz w:val="28"/>
          <w:szCs w:val="28"/>
        </w:rPr>
        <w:t>% к годовым назначениям</w:t>
      </w:r>
      <w:r w:rsidRPr="00E718B2">
        <w:rPr>
          <w:sz w:val="28"/>
          <w:szCs w:val="28"/>
        </w:rPr>
        <w:t>.</w:t>
      </w:r>
    </w:p>
    <w:p w:rsidR="000F61B4" w:rsidRDefault="00915B95" w:rsidP="000F6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61B4" w:rsidRPr="000F61B4">
        <w:rPr>
          <w:sz w:val="28"/>
          <w:szCs w:val="28"/>
        </w:rPr>
        <w:t xml:space="preserve">. Расходная часть бюджета </w:t>
      </w:r>
      <w:proofErr w:type="spellStart"/>
      <w:r w:rsidR="000F61B4" w:rsidRPr="000F61B4">
        <w:rPr>
          <w:sz w:val="28"/>
          <w:szCs w:val="28"/>
        </w:rPr>
        <w:t>Конышевского</w:t>
      </w:r>
      <w:proofErr w:type="spellEnd"/>
      <w:r w:rsidR="000F61B4" w:rsidRPr="000F61B4">
        <w:rPr>
          <w:sz w:val="28"/>
          <w:szCs w:val="28"/>
        </w:rPr>
        <w:t xml:space="preserve"> района Курской области за </w:t>
      </w:r>
      <w:r w:rsidR="000B4737">
        <w:rPr>
          <w:sz w:val="28"/>
          <w:szCs w:val="28"/>
        </w:rPr>
        <w:t>1 квартал</w:t>
      </w:r>
      <w:r w:rsidR="000F61B4" w:rsidRPr="000F61B4">
        <w:rPr>
          <w:sz w:val="28"/>
          <w:szCs w:val="28"/>
        </w:rPr>
        <w:t xml:space="preserve"> 202</w:t>
      </w:r>
      <w:r w:rsidR="005904C3"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 xml:space="preserve"> года исполнена в сумме </w:t>
      </w:r>
      <w:r w:rsidR="005904C3">
        <w:rPr>
          <w:sz w:val="28"/>
          <w:szCs w:val="28"/>
        </w:rPr>
        <w:t>68954,0</w:t>
      </w:r>
      <w:r w:rsidR="000F61B4" w:rsidRPr="000F61B4">
        <w:rPr>
          <w:sz w:val="28"/>
          <w:szCs w:val="28"/>
        </w:rPr>
        <w:t xml:space="preserve"> тыс. рублей или на </w:t>
      </w:r>
      <w:r w:rsidR="005904C3">
        <w:rPr>
          <w:sz w:val="28"/>
          <w:szCs w:val="28"/>
        </w:rPr>
        <w:t>15,4</w:t>
      </w:r>
      <w:r w:rsidR="000F61B4" w:rsidRPr="000F61B4">
        <w:rPr>
          <w:sz w:val="28"/>
          <w:szCs w:val="28"/>
        </w:rPr>
        <w:t>% от ассигнований, предусмотренных решением о бюджете</w:t>
      </w:r>
      <w:r w:rsidR="00816E65">
        <w:rPr>
          <w:sz w:val="28"/>
          <w:szCs w:val="28"/>
        </w:rPr>
        <w:t xml:space="preserve"> и на </w:t>
      </w:r>
      <w:r w:rsidR="005904C3">
        <w:rPr>
          <w:sz w:val="28"/>
          <w:szCs w:val="28"/>
        </w:rPr>
        <w:t>14,9</w:t>
      </w:r>
      <w:r w:rsidR="00816E65">
        <w:rPr>
          <w:sz w:val="28"/>
          <w:szCs w:val="28"/>
        </w:rPr>
        <w:t>% к сводной бюджетной росписи</w:t>
      </w:r>
      <w:r w:rsidR="000F61B4" w:rsidRPr="000F61B4">
        <w:rPr>
          <w:sz w:val="28"/>
          <w:szCs w:val="28"/>
        </w:rPr>
        <w:t>.</w:t>
      </w:r>
    </w:p>
    <w:p w:rsidR="000F61B4" w:rsidRPr="001E46FB" w:rsidRDefault="000F61B4" w:rsidP="000F61B4">
      <w:pPr>
        <w:ind w:firstLine="567"/>
        <w:jc w:val="both"/>
        <w:rPr>
          <w:sz w:val="28"/>
          <w:szCs w:val="28"/>
        </w:rPr>
      </w:pPr>
      <w:r w:rsidRPr="001E46FB">
        <w:rPr>
          <w:sz w:val="28"/>
          <w:szCs w:val="28"/>
        </w:rPr>
        <w:t xml:space="preserve">Исполнение </w:t>
      </w:r>
      <w:proofErr w:type="gramStart"/>
      <w:r w:rsidRPr="001E46FB">
        <w:rPr>
          <w:sz w:val="28"/>
          <w:szCs w:val="28"/>
        </w:rPr>
        <w:t xml:space="preserve">расходов, произведенных в рамках муниципальных программ </w:t>
      </w:r>
      <w:r w:rsidR="00B355D8">
        <w:rPr>
          <w:sz w:val="28"/>
          <w:szCs w:val="28"/>
        </w:rPr>
        <w:t xml:space="preserve">за </w:t>
      </w:r>
      <w:r w:rsidR="000B4737">
        <w:rPr>
          <w:sz w:val="28"/>
          <w:szCs w:val="28"/>
        </w:rPr>
        <w:t>1 квартал  202</w:t>
      </w:r>
      <w:r w:rsidR="005904C3">
        <w:rPr>
          <w:sz w:val="28"/>
          <w:szCs w:val="28"/>
        </w:rPr>
        <w:t>4</w:t>
      </w:r>
      <w:r w:rsidRPr="001E46FB">
        <w:rPr>
          <w:sz w:val="28"/>
          <w:szCs w:val="28"/>
        </w:rPr>
        <w:t xml:space="preserve"> года составило</w:t>
      </w:r>
      <w:proofErr w:type="gramEnd"/>
      <w:r w:rsidRPr="001E46FB">
        <w:rPr>
          <w:sz w:val="28"/>
          <w:szCs w:val="28"/>
        </w:rPr>
        <w:t xml:space="preserve"> </w:t>
      </w:r>
      <w:r w:rsidR="005904C3">
        <w:rPr>
          <w:sz w:val="28"/>
          <w:szCs w:val="28"/>
        </w:rPr>
        <w:t xml:space="preserve">60794,2 </w:t>
      </w:r>
      <w:r w:rsidRPr="001E46FB">
        <w:rPr>
          <w:sz w:val="28"/>
          <w:szCs w:val="28"/>
        </w:rPr>
        <w:t xml:space="preserve">тыс. рублей или </w:t>
      </w:r>
      <w:r w:rsidR="005904C3">
        <w:rPr>
          <w:sz w:val="28"/>
          <w:szCs w:val="28"/>
        </w:rPr>
        <w:t>16</w:t>
      </w:r>
      <w:r w:rsidRPr="001E46FB">
        <w:rPr>
          <w:sz w:val="28"/>
          <w:szCs w:val="28"/>
        </w:rPr>
        <w:t xml:space="preserve">% от ассигнований, предусмотренных </w:t>
      </w:r>
      <w:r w:rsidR="00E07632" w:rsidRPr="001E46FB">
        <w:rPr>
          <w:sz w:val="28"/>
          <w:szCs w:val="28"/>
        </w:rPr>
        <w:t xml:space="preserve">сводной </w:t>
      </w:r>
      <w:r w:rsidRPr="001E46FB">
        <w:rPr>
          <w:sz w:val="28"/>
          <w:szCs w:val="28"/>
        </w:rPr>
        <w:t>бюджет</w:t>
      </w:r>
      <w:r w:rsidR="00E07632" w:rsidRPr="001E46FB">
        <w:rPr>
          <w:sz w:val="28"/>
          <w:szCs w:val="28"/>
        </w:rPr>
        <w:t>ной росписью</w:t>
      </w:r>
      <w:r w:rsidRPr="001E46FB">
        <w:rPr>
          <w:sz w:val="28"/>
          <w:szCs w:val="28"/>
        </w:rPr>
        <w:t xml:space="preserve">. </w:t>
      </w:r>
      <w:r w:rsidR="000B4737" w:rsidRPr="000B4737">
        <w:rPr>
          <w:sz w:val="28"/>
          <w:szCs w:val="28"/>
        </w:rPr>
        <w:t xml:space="preserve">Удельный вес программных расходов в общей сумме расходов бюджета </w:t>
      </w:r>
      <w:proofErr w:type="spellStart"/>
      <w:r w:rsidR="000B4737" w:rsidRPr="000B4737">
        <w:rPr>
          <w:sz w:val="28"/>
          <w:szCs w:val="28"/>
        </w:rPr>
        <w:t>Конышевского</w:t>
      </w:r>
      <w:proofErr w:type="spellEnd"/>
      <w:r w:rsidR="000B4737" w:rsidRPr="000B4737">
        <w:rPr>
          <w:sz w:val="28"/>
          <w:szCs w:val="28"/>
        </w:rPr>
        <w:t xml:space="preserve"> района Курской области по плановым назначениям составил </w:t>
      </w:r>
      <w:r w:rsidR="005904C3">
        <w:rPr>
          <w:sz w:val="28"/>
          <w:szCs w:val="28"/>
        </w:rPr>
        <w:t>85,1</w:t>
      </w:r>
      <w:r w:rsidR="000B4737" w:rsidRPr="000B4737">
        <w:rPr>
          <w:sz w:val="28"/>
          <w:szCs w:val="28"/>
        </w:rPr>
        <w:t>%</w:t>
      </w:r>
      <w:r w:rsidR="008F5F1A">
        <w:rPr>
          <w:sz w:val="28"/>
          <w:szCs w:val="28"/>
        </w:rPr>
        <w:t xml:space="preserve">, сводной бюджетной росписью – </w:t>
      </w:r>
      <w:r w:rsidR="005904C3">
        <w:rPr>
          <w:sz w:val="28"/>
          <w:szCs w:val="28"/>
        </w:rPr>
        <w:t>82,2</w:t>
      </w:r>
      <w:r w:rsidR="000B4737" w:rsidRPr="000B4737">
        <w:rPr>
          <w:sz w:val="28"/>
          <w:szCs w:val="28"/>
        </w:rPr>
        <w:t>%,  по кассовым расходам за 1 квартал 202</w:t>
      </w:r>
      <w:r w:rsidR="005904C3">
        <w:rPr>
          <w:sz w:val="28"/>
          <w:szCs w:val="28"/>
        </w:rPr>
        <w:t>4</w:t>
      </w:r>
      <w:r w:rsidR="000B4737" w:rsidRPr="000B4737">
        <w:rPr>
          <w:sz w:val="28"/>
          <w:szCs w:val="28"/>
        </w:rPr>
        <w:t xml:space="preserve"> года – </w:t>
      </w:r>
      <w:r w:rsidR="005904C3">
        <w:rPr>
          <w:sz w:val="28"/>
          <w:szCs w:val="28"/>
        </w:rPr>
        <w:t>88,2</w:t>
      </w:r>
      <w:r w:rsidR="000B4737" w:rsidRPr="000B4737">
        <w:rPr>
          <w:sz w:val="28"/>
          <w:szCs w:val="28"/>
        </w:rPr>
        <w:t>%.</w:t>
      </w:r>
    </w:p>
    <w:p w:rsidR="000F61B4" w:rsidRPr="000F61B4" w:rsidRDefault="00B8244C" w:rsidP="000F6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>.</w:t>
      </w:r>
      <w:r w:rsidR="000F61B4" w:rsidRPr="000F61B4">
        <w:rPr>
          <w:sz w:val="28"/>
          <w:szCs w:val="28"/>
        </w:rPr>
        <w:tab/>
        <w:t xml:space="preserve">Результатом исполнения бюджета </w:t>
      </w:r>
      <w:r>
        <w:rPr>
          <w:sz w:val="28"/>
          <w:szCs w:val="28"/>
        </w:rPr>
        <w:t>района</w:t>
      </w:r>
      <w:r w:rsidR="000F61B4" w:rsidRPr="000F61B4">
        <w:rPr>
          <w:sz w:val="28"/>
          <w:szCs w:val="28"/>
        </w:rPr>
        <w:t xml:space="preserve"> за </w:t>
      </w:r>
      <w:r w:rsidR="000B4737">
        <w:rPr>
          <w:sz w:val="28"/>
          <w:szCs w:val="28"/>
        </w:rPr>
        <w:t>1 квартал</w:t>
      </w:r>
      <w:r w:rsidR="000F61B4" w:rsidRPr="000F61B4">
        <w:rPr>
          <w:sz w:val="28"/>
          <w:szCs w:val="28"/>
        </w:rPr>
        <w:t xml:space="preserve"> 202</w:t>
      </w:r>
      <w:r w:rsidR="005904C3"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 xml:space="preserve"> года явилось образование профицита в сумме </w:t>
      </w:r>
      <w:r w:rsidR="005904C3">
        <w:rPr>
          <w:sz w:val="28"/>
          <w:szCs w:val="28"/>
        </w:rPr>
        <w:t>10031,7</w:t>
      </w:r>
      <w:r w:rsidR="000F61B4" w:rsidRPr="000F61B4">
        <w:rPr>
          <w:sz w:val="28"/>
          <w:szCs w:val="28"/>
        </w:rPr>
        <w:t xml:space="preserve"> тыс. рублей при утвержденном на 202</w:t>
      </w:r>
      <w:r w:rsidR="005904C3"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дефиците бюджета в размере </w:t>
      </w:r>
      <w:r w:rsidR="005904C3">
        <w:rPr>
          <w:sz w:val="28"/>
          <w:szCs w:val="28"/>
        </w:rPr>
        <w:t>108640,0</w:t>
      </w:r>
      <w:r w:rsidR="000F61B4" w:rsidRPr="000F61B4">
        <w:rPr>
          <w:sz w:val="28"/>
          <w:szCs w:val="28"/>
        </w:rPr>
        <w:t xml:space="preserve"> тыс. рублей.</w:t>
      </w:r>
    </w:p>
    <w:p w:rsidR="008C581A" w:rsidRDefault="005904C3" w:rsidP="004535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3588">
        <w:rPr>
          <w:sz w:val="28"/>
          <w:szCs w:val="28"/>
        </w:rPr>
        <w:t xml:space="preserve">. </w:t>
      </w:r>
      <w:r w:rsidR="000F61B4" w:rsidRPr="001E46FB">
        <w:rPr>
          <w:sz w:val="28"/>
          <w:szCs w:val="28"/>
        </w:rPr>
        <w:t>По состоянию на 01.</w:t>
      </w:r>
      <w:r w:rsidR="000B4737">
        <w:rPr>
          <w:sz w:val="28"/>
          <w:szCs w:val="28"/>
        </w:rPr>
        <w:t>04</w:t>
      </w:r>
      <w:r w:rsidR="000F61B4" w:rsidRPr="001E46F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F61B4" w:rsidRPr="001E46FB">
        <w:rPr>
          <w:sz w:val="28"/>
          <w:szCs w:val="28"/>
        </w:rPr>
        <w:t xml:space="preserve"> года муниципальный долг</w:t>
      </w:r>
      <w:r w:rsidR="00217C6A">
        <w:rPr>
          <w:sz w:val="28"/>
          <w:szCs w:val="28"/>
        </w:rPr>
        <w:t xml:space="preserve"> </w:t>
      </w:r>
      <w:proofErr w:type="spellStart"/>
      <w:r w:rsidR="00217C6A">
        <w:rPr>
          <w:sz w:val="28"/>
          <w:szCs w:val="28"/>
        </w:rPr>
        <w:t>Конышевского</w:t>
      </w:r>
      <w:proofErr w:type="spellEnd"/>
      <w:r w:rsidR="00217C6A">
        <w:rPr>
          <w:sz w:val="28"/>
          <w:szCs w:val="28"/>
        </w:rPr>
        <w:t xml:space="preserve"> района Курской области</w:t>
      </w:r>
      <w:r w:rsidR="000F61B4" w:rsidRPr="001E46FB">
        <w:rPr>
          <w:sz w:val="28"/>
          <w:szCs w:val="28"/>
        </w:rPr>
        <w:t xml:space="preserve"> отсутствует.</w:t>
      </w:r>
    </w:p>
    <w:p w:rsidR="003E63E2" w:rsidRDefault="003E63E2" w:rsidP="00453588">
      <w:pPr>
        <w:ind w:firstLine="567"/>
        <w:jc w:val="both"/>
        <w:rPr>
          <w:sz w:val="28"/>
          <w:szCs w:val="28"/>
        </w:rPr>
      </w:pPr>
    </w:p>
    <w:p w:rsidR="003E63E2" w:rsidRDefault="003E63E2" w:rsidP="00453588">
      <w:pPr>
        <w:ind w:firstLine="567"/>
        <w:jc w:val="both"/>
        <w:rPr>
          <w:sz w:val="28"/>
          <w:szCs w:val="28"/>
        </w:rPr>
      </w:pPr>
    </w:p>
    <w:p w:rsidR="001E46FB" w:rsidRPr="001E46FB" w:rsidRDefault="001E46FB" w:rsidP="001E46FB">
      <w:pPr>
        <w:pStyle w:val="af9"/>
        <w:ind w:left="900"/>
        <w:jc w:val="both"/>
        <w:rPr>
          <w:sz w:val="28"/>
          <w:szCs w:val="28"/>
        </w:rPr>
      </w:pPr>
    </w:p>
    <w:p w:rsidR="001E46FB" w:rsidRPr="003D5FE0" w:rsidRDefault="001E46FB" w:rsidP="003E63E2">
      <w:pPr>
        <w:ind w:firstLine="540"/>
        <w:jc w:val="center"/>
        <w:rPr>
          <w:b/>
          <w:sz w:val="28"/>
          <w:szCs w:val="28"/>
        </w:rPr>
      </w:pPr>
      <w:r w:rsidRPr="003D5FE0">
        <w:rPr>
          <w:b/>
          <w:sz w:val="28"/>
          <w:szCs w:val="28"/>
        </w:rPr>
        <w:lastRenderedPageBreak/>
        <w:t>ПРЕДЛОЖЕНИ</w:t>
      </w:r>
      <w:bookmarkStart w:id="0" w:name="_GoBack"/>
      <w:bookmarkEnd w:id="0"/>
      <w:r w:rsidRPr="003D5FE0">
        <w:rPr>
          <w:b/>
          <w:sz w:val="28"/>
          <w:szCs w:val="28"/>
        </w:rPr>
        <w:t>Я:</w:t>
      </w:r>
    </w:p>
    <w:p w:rsidR="000B67D6" w:rsidRPr="001E46FB" w:rsidRDefault="000B67D6" w:rsidP="001E46FB">
      <w:pPr>
        <w:ind w:firstLine="540"/>
        <w:jc w:val="both"/>
        <w:rPr>
          <w:sz w:val="28"/>
          <w:szCs w:val="28"/>
        </w:rPr>
      </w:pPr>
    </w:p>
    <w:p w:rsidR="008C581A" w:rsidRPr="0093172C" w:rsidRDefault="00764575" w:rsidP="008C581A">
      <w:pPr>
        <w:ind w:firstLine="567"/>
        <w:jc w:val="both"/>
        <w:rPr>
          <w:sz w:val="28"/>
          <w:szCs w:val="28"/>
        </w:rPr>
      </w:pPr>
      <w:r w:rsidRPr="0093172C">
        <w:rPr>
          <w:sz w:val="28"/>
          <w:szCs w:val="28"/>
        </w:rPr>
        <w:t>П</w:t>
      </w:r>
      <w:r w:rsidR="000B67D6" w:rsidRPr="0093172C">
        <w:rPr>
          <w:sz w:val="28"/>
          <w:szCs w:val="28"/>
        </w:rPr>
        <w:t xml:space="preserve">ри внесении очередных изменений в </w:t>
      </w:r>
      <w:r w:rsidR="00683F36" w:rsidRPr="0093172C">
        <w:rPr>
          <w:sz w:val="28"/>
          <w:szCs w:val="28"/>
        </w:rPr>
        <w:t xml:space="preserve">решение о бюджете </w:t>
      </w:r>
      <w:proofErr w:type="spellStart"/>
      <w:r w:rsidRPr="0093172C">
        <w:rPr>
          <w:sz w:val="28"/>
          <w:szCs w:val="28"/>
        </w:rPr>
        <w:t>Конышевского</w:t>
      </w:r>
      <w:proofErr w:type="spellEnd"/>
      <w:r w:rsidRPr="0093172C">
        <w:rPr>
          <w:sz w:val="28"/>
          <w:szCs w:val="28"/>
        </w:rPr>
        <w:t xml:space="preserve"> района Курской области </w:t>
      </w:r>
      <w:r w:rsidR="00683F36" w:rsidRPr="0093172C">
        <w:rPr>
          <w:sz w:val="28"/>
          <w:szCs w:val="28"/>
        </w:rPr>
        <w:t>на 202</w:t>
      </w:r>
      <w:r w:rsidR="007B073C">
        <w:rPr>
          <w:sz w:val="28"/>
          <w:szCs w:val="28"/>
        </w:rPr>
        <w:t>4</w:t>
      </w:r>
      <w:r w:rsidR="000B67D6" w:rsidRPr="0093172C">
        <w:rPr>
          <w:sz w:val="28"/>
          <w:szCs w:val="28"/>
        </w:rPr>
        <w:t xml:space="preserve"> год требуется ко</w:t>
      </w:r>
      <w:r w:rsidRPr="0093172C">
        <w:rPr>
          <w:sz w:val="28"/>
          <w:szCs w:val="28"/>
        </w:rPr>
        <w:t>рректировка</w:t>
      </w:r>
      <w:r w:rsidR="000B67D6" w:rsidRPr="0093172C">
        <w:rPr>
          <w:sz w:val="28"/>
          <w:szCs w:val="28"/>
        </w:rPr>
        <w:t xml:space="preserve"> </w:t>
      </w:r>
      <w:r w:rsidRPr="0093172C">
        <w:rPr>
          <w:sz w:val="28"/>
          <w:szCs w:val="28"/>
        </w:rPr>
        <w:t>по расходам бюджета на сумму расходов, утвержденных сводной бюджетной росписью</w:t>
      </w:r>
      <w:r w:rsidR="000B67D6" w:rsidRPr="0093172C">
        <w:rPr>
          <w:sz w:val="28"/>
          <w:szCs w:val="28"/>
        </w:rPr>
        <w:t>.</w:t>
      </w:r>
    </w:p>
    <w:p w:rsidR="00780C69" w:rsidRDefault="00780C69" w:rsidP="00780C69">
      <w:pPr>
        <w:ind w:firstLine="567"/>
        <w:jc w:val="both"/>
        <w:rPr>
          <w:sz w:val="28"/>
          <w:szCs w:val="28"/>
        </w:rPr>
      </w:pPr>
      <w:r w:rsidRPr="000B67D6">
        <w:rPr>
          <w:sz w:val="28"/>
          <w:szCs w:val="28"/>
        </w:rPr>
        <w:t xml:space="preserve">Главным распорядителям бюджетных средств 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Pr="000B67D6">
        <w:rPr>
          <w:sz w:val="28"/>
          <w:szCs w:val="28"/>
        </w:rPr>
        <w:t>исполнения</w:t>
      </w:r>
      <w:proofErr w:type="gramEnd"/>
      <w:r w:rsidRPr="000B67D6">
        <w:rPr>
          <w:sz w:val="28"/>
          <w:szCs w:val="28"/>
        </w:rPr>
        <w:t xml:space="preserve"> принятых бюджетом </w:t>
      </w:r>
      <w:r w:rsidR="00683F36">
        <w:rPr>
          <w:sz w:val="28"/>
          <w:szCs w:val="28"/>
        </w:rPr>
        <w:t xml:space="preserve">района </w:t>
      </w:r>
      <w:r w:rsidRPr="000B67D6">
        <w:rPr>
          <w:sz w:val="28"/>
          <w:szCs w:val="28"/>
        </w:rPr>
        <w:t>бюджетных обязательств.</w:t>
      </w:r>
    </w:p>
    <w:p w:rsidR="00764575" w:rsidRDefault="00764575" w:rsidP="00764575">
      <w:pPr>
        <w:ind w:firstLine="567"/>
        <w:jc w:val="both"/>
        <w:rPr>
          <w:sz w:val="28"/>
          <w:szCs w:val="28"/>
        </w:rPr>
      </w:pPr>
      <w:r w:rsidRPr="000B67D6">
        <w:rPr>
          <w:sz w:val="28"/>
          <w:szCs w:val="28"/>
        </w:rPr>
        <w:t xml:space="preserve">Ответственным исполнителям </w:t>
      </w:r>
      <w:r>
        <w:rPr>
          <w:sz w:val="28"/>
          <w:szCs w:val="28"/>
        </w:rPr>
        <w:t>муниципальных программ</w:t>
      </w:r>
      <w:r w:rsidR="00C06997">
        <w:rPr>
          <w:sz w:val="28"/>
          <w:szCs w:val="28"/>
        </w:rPr>
        <w:t xml:space="preserve"> </w:t>
      </w:r>
      <w:r w:rsidRPr="000B67D6">
        <w:rPr>
          <w:sz w:val="28"/>
          <w:szCs w:val="28"/>
        </w:rPr>
        <w:t xml:space="preserve"> активизировать работу, направленную на своевременность исполнения расходов </w:t>
      </w:r>
      <w:r>
        <w:rPr>
          <w:sz w:val="28"/>
          <w:szCs w:val="28"/>
        </w:rPr>
        <w:t>про</w:t>
      </w:r>
      <w:r w:rsidRPr="000B67D6">
        <w:rPr>
          <w:sz w:val="28"/>
          <w:szCs w:val="28"/>
        </w:rPr>
        <w:t xml:space="preserve">грамм в целях минимизации рисков их неисполнения и </w:t>
      </w:r>
      <w:proofErr w:type="spellStart"/>
      <w:r w:rsidRPr="000B67D6">
        <w:rPr>
          <w:sz w:val="28"/>
          <w:szCs w:val="28"/>
        </w:rPr>
        <w:t>недостижения</w:t>
      </w:r>
      <w:proofErr w:type="spellEnd"/>
      <w:r w:rsidRPr="000B67D6">
        <w:rPr>
          <w:sz w:val="28"/>
          <w:szCs w:val="28"/>
        </w:rPr>
        <w:t xml:space="preserve"> целевых показателей (индикаторов) </w:t>
      </w:r>
      <w:r>
        <w:rPr>
          <w:sz w:val="28"/>
          <w:szCs w:val="28"/>
        </w:rPr>
        <w:t xml:space="preserve">муниципальных </w:t>
      </w:r>
      <w:r w:rsidRPr="000B67D6">
        <w:rPr>
          <w:sz w:val="28"/>
          <w:szCs w:val="28"/>
        </w:rPr>
        <w:t>программ.</w:t>
      </w:r>
    </w:p>
    <w:p w:rsidR="000B67D6" w:rsidRDefault="000B67D6" w:rsidP="008C581A">
      <w:pPr>
        <w:ind w:firstLine="567"/>
        <w:jc w:val="both"/>
        <w:rPr>
          <w:sz w:val="28"/>
          <w:szCs w:val="28"/>
        </w:rPr>
      </w:pPr>
    </w:p>
    <w:p w:rsidR="00073BA4" w:rsidRDefault="00073BA4" w:rsidP="008C581A">
      <w:pPr>
        <w:ind w:firstLine="567"/>
        <w:jc w:val="both"/>
        <w:rPr>
          <w:sz w:val="28"/>
          <w:szCs w:val="28"/>
        </w:rPr>
      </w:pPr>
    </w:p>
    <w:p w:rsidR="00C34800" w:rsidRDefault="00C34800" w:rsidP="008C581A">
      <w:pPr>
        <w:ind w:firstLine="567"/>
        <w:jc w:val="both"/>
        <w:rPr>
          <w:sz w:val="28"/>
          <w:szCs w:val="28"/>
        </w:rPr>
      </w:pPr>
    </w:p>
    <w:p w:rsidR="004629C4" w:rsidRPr="00674363" w:rsidRDefault="007B073C" w:rsidP="007B0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674363">
        <w:rPr>
          <w:sz w:val="28"/>
          <w:szCs w:val="28"/>
        </w:rPr>
        <w:t>Ревизионной комиссии</w:t>
      </w:r>
    </w:p>
    <w:p w:rsidR="00AC2D79" w:rsidRPr="00674363" w:rsidRDefault="004629C4" w:rsidP="007B073C">
      <w:pPr>
        <w:pStyle w:val="ac"/>
        <w:tabs>
          <w:tab w:val="left" w:pos="7230"/>
        </w:tabs>
        <w:spacing w:after="0"/>
      </w:pPr>
      <w:proofErr w:type="spellStart"/>
      <w:r w:rsidRPr="00674363">
        <w:rPr>
          <w:sz w:val="28"/>
          <w:szCs w:val="28"/>
        </w:rPr>
        <w:t>Конышевского</w:t>
      </w:r>
      <w:proofErr w:type="spellEnd"/>
      <w:r w:rsidRPr="00674363">
        <w:rPr>
          <w:sz w:val="28"/>
          <w:szCs w:val="28"/>
        </w:rPr>
        <w:t xml:space="preserve"> района </w:t>
      </w:r>
      <w:r w:rsidR="007B073C">
        <w:rPr>
          <w:sz w:val="28"/>
          <w:szCs w:val="28"/>
        </w:rPr>
        <w:t>Курско</w:t>
      </w:r>
      <w:r w:rsidR="007A5369">
        <w:rPr>
          <w:sz w:val="28"/>
          <w:szCs w:val="28"/>
        </w:rPr>
        <w:t xml:space="preserve">й области         </w:t>
      </w:r>
      <w:r w:rsidR="00525AB6">
        <w:rPr>
          <w:sz w:val="28"/>
          <w:szCs w:val="28"/>
        </w:rPr>
        <w:t xml:space="preserve">           </w:t>
      </w:r>
      <w:r w:rsidR="007A5369">
        <w:rPr>
          <w:sz w:val="28"/>
          <w:szCs w:val="28"/>
        </w:rPr>
        <w:t xml:space="preserve">   </w:t>
      </w:r>
      <w:r w:rsidR="002D6C26">
        <w:rPr>
          <w:sz w:val="28"/>
          <w:szCs w:val="28"/>
        </w:rPr>
        <w:t xml:space="preserve">         </w:t>
      </w:r>
      <w:r w:rsidR="00F30AB5">
        <w:rPr>
          <w:sz w:val="28"/>
          <w:szCs w:val="28"/>
        </w:rPr>
        <w:t xml:space="preserve">        </w:t>
      </w:r>
      <w:r w:rsidR="007B073C">
        <w:rPr>
          <w:sz w:val="28"/>
          <w:szCs w:val="28"/>
        </w:rPr>
        <w:t>Е.В. Малиновская</w:t>
      </w:r>
    </w:p>
    <w:sectPr w:rsidR="00AC2D79" w:rsidRPr="00674363" w:rsidSect="0009545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BA" w:rsidRDefault="00CD42BA" w:rsidP="00394FF5">
      <w:r>
        <w:separator/>
      </w:r>
    </w:p>
  </w:endnote>
  <w:endnote w:type="continuationSeparator" w:id="0">
    <w:p w:rsidR="00CD42BA" w:rsidRDefault="00CD42BA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BA" w:rsidRDefault="00CD42BA" w:rsidP="00394FF5">
      <w:r>
        <w:separator/>
      </w:r>
    </w:p>
  </w:footnote>
  <w:footnote w:type="continuationSeparator" w:id="0">
    <w:p w:rsidR="00CD42BA" w:rsidRDefault="00CD42BA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E0148F"/>
    <w:multiLevelType w:val="hybridMultilevel"/>
    <w:tmpl w:val="A2F8B684"/>
    <w:lvl w:ilvl="0" w:tplc="E4286B2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151F60"/>
    <w:multiLevelType w:val="multilevel"/>
    <w:tmpl w:val="CC22D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6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CB523C"/>
    <w:multiLevelType w:val="multilevel"/>
    <w:tmpl w:val="6F72FA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5FCA1B79"/>
    <w:multiLevelType w:val="hybridMultilevel"/>
    <w:tmpl w:val="0CD220C4"/>
    <w:lvl w:ilvl="0" w:tplc="30F8E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1A04"/>
    <w:rsid w:val="000120A2"/>
    <w:rsid w:val="0001428D"/>
    <w:rsid w:val="00022410"/>
    <w:rsid w:val="00040D22"/>
    <w:rsid w:val="00041265"/>
    <w:rsid w:val="0004564F"/>
    <w:rsid w:val="000512EC"/>
    <w:rsid w:val="00053BD9"/>
    <w:rsid w:val="000666E1"/>
    <w:rsid w:val="00066B10"/>
    <w:rsid w:val="00073BA4"/>
    <w:rsid w:val="00076ABD"/>
    <w:rsid w:val="00084B74"/>
    <w:rsid w:val="00090631"/>
    <w:rsid w:val="00092E81"/>
    <w:rsid w:val="0009344A"/>
    <w:rsid w:val="0009545E"/>
    <w:rsid w:val="000A14E4"/>
    <w:rsid w:val="000A7A9B"/>
    <w:rsid w:val="000A7FF7"/>
    <w:rsid w:val="000B0AB8"/>
    <w:rsid w:val="000B3EEF"/>
    <w:rsid w:val="000B4737"/>
    <w:rsid w:val="000B5203"/>
    <w:rsid w:val="000B6257"/>
    <w:rsid w:val="000B67D6"/>
    <w:rsid w:val="000C7413"/>
    <w:rsid w:val="000E16B0"/>
    <w:rsid w:val="000F00D0"/>
    <w:rsid w:val="000F0293"/>
    <w:rsid w:val="000F27DC"/>
    <w:rsid w:val="000F3A1E"/>
    <w:rsid w:val="000F4E33"/>
    <w:rsid w:val="000F61B4"/>
    <w:rsid w:val="0010155A"/>
    <w:rsid w:val="001028C3"/>
    <w:rsid w:val="001116C7"/>
    <w:rsid w:val="0011284B"/>
    <w:rsid w:val="00112A93"/>
    <w:rsid w:val="00115B62"/>
    <w:rsid w:val="00120DEE"/>
    <w:rsid w:val="00121781"/>
    <w:rsid w:val="00122480"/>
    <w:rsid w:val="00123286"/>
    <w:rsid w:val="00127D09"/>
    <w:rsid w:val="001315C2"/>
    <w:rsid w:val="00131EB7"/>
    <w:rsid w:val="0013413F"/>
    <w:rsid w:val="00153996"/>
    <w:rsid w:val="001544CB"/>
    <w:rsid w:val="00156A61"/>
    <w:rsid w:val="001574B2"/>
    <w:rsid w:val="00157557"/>
    <w:rsid w:val="00164AE5"/>
    <w:rsid w:val="00165188"/>
    <w:rsid w:val="00170407"/>
    <w:rsid w:val="00171D46"/>
    <w:rsid w:val="00177C1C"/>
    <w:rsid w:val="0018222B"/>
    <w:rsid w:val="001859E1"/>
    <w:rsid w:val="001860F8"/>
    <w:rsid w:val="00187236"/>
    <w:rsid w:val="00192487"/>
    <w:rsid w:val="00192C9B"/>
    <w:rsid w:val="0019349A"/>
    <w:rsid w:val="001A441D"/>
    <w:rsid w:val="001C064C"/>
    <w:rsid w:val="001C2621"/>
    <w:rsid w:val="001C7608"/>
    <w:rsid w:val="001D2240"/>
    <w:rsid w:val="001D4238"/>
    <w:rsid w:val="001D6A8E"/>
    <w:rsid w:val="001D79EB"/>
    <w:rsid w:val="001E462A"/>
    <w:rsid w:val="001E46FB"/>
    <w:rsid w:val="001E5C5A"/>
    <w:rsid w:val="001F68E1"/>
    <w:rsid w:val="00203A1C"/>
    <w:rsid w:val="00204F3A"/>
    <w:rsid w:val="00214DF2"/>
    <w:rsid w:val="00217C6A"/>
    <w:rsid w:val="0022525F"/>
    <w:rsid w:val="00225B7A"/>
    <w:rsid w:val="002458F4"/>
    <w:rsid w:val="0024602E"/>
    <w:rsid w:val="00254704"/>
    <w:rsid w:val="00255FB8"/>
    <w:rsid w:val="00260A67"/>
    <w:rsid w:val="002617C2"/>
    <w:rsid w:val="00261C6E"/>
    <w:rsid w:val="002661ED"/>
    <w:rsid w:val="00270B9C"/>
    <w:rsid w:val="00271DC0"/>
    <w:rsid w:val="00273084"/>
    <w:rsid w:val="00273DB9"/>
    <w:rsid w:val="002741CA"/>
    <w:rsid w:val="0028036B"/>
    <w:rsid w:val="00281AEE"/>
    <w:rsid w:val="00282991"/>
    <w:rsid w:val="00283D9A"/>
    <w:rsid w:val="002864B3"/>
    <w:rsid w:val="002913E4"/>
    <w:rsid w:val="002A1B63"/>
    <w:rsid w:val="002A666A"/>
    <w:rsid w:val="002B3A2A"/>
    <w:rsid w:val="002B5C45"/>
    <w:rsid w:val="002B672F"/>
    <w:rsid w:val="002C481B"/>
    <w:rsid w:val="002D2B5D"/>
    <w:rsid w:val="002D6C26"/>
    <w:rsid w:val="002E151C"/>
    <w:rsid w:val="002E1A94"/>
    <w:rsid w:val="002E36FF"/>
    <w:rsid w:val="00301976"/>
    <w:rsid w:val="00302A2F"/>
    <w:rsid w:val="0031158C"/>
    <w:rsid w:val="00313BE6"/>
    <w:rsid w:val="00313E27"/>
    <w:rsid w:val="0031500B"/>
    <w:rsid w:val="00332EBC"/>
    <w:rsid w:val="00335EC9"/>
    <w:rsid w:val="003404B8"/>
    <w:rsid w:val="0034428F"/>
    <w:rsid w:val="00353DBC"/>
    <w:rsid w:val="00354F07"/>
    <w:rsid w:val="003560DD"/>
    <w:rsid w:val="00362EB5"/>
    <w:rsid w:val="00370A4D"/>
    <w:rsid w:val="003728CF"/>
    <w:rsid w:val="003766CF"/>
    <w:rsid w:val="00381347"/>
    <w:rsid w:val="0038141D"/>
    <w:rsid w:val="003817EC"/>
    <w:rsid w:val="00384140"/>
    <w:rsid w:val="003851E9"/>
    <w:rsid w:val="0038750E"/>
    <w:rsid w:val="003920C7"/>
    <w:rsid w:val="00392E48"/>
    <w:rsid w:val="00394823"/>
    <w:rsid w:val="00394FF5"/>
    <w:rsid w:val="00396C86"/>
    <w:rsid w:val="003B14F5"/>
    <w:rsid w:val="003B3DED"/>
    <w:rsid w:val="003C24C3"/>
    <w:rsid w:val="003C5C10"/>
    <w:rsid w:val="003C60CD"/>
    <w:rsid w:val="003D10B3"/>
    <w:rsid w:val="003D26EB"/>
    <w:rsid w:val="003D5FE0"/>
    <w:rsid w:val="003D7742"/>
    <w:rsid w:val="003E181E"/>
    <w:rsid w:val="003E55BA"/>
    <w:rsid w:val="003E63E2"/>
    <w:rsid w:val="003F37C1"/>
    <w:rsid w:val="004002E5"/>
    <w:rsid w:val="00407805"/>
    <w:rsid w:val="0041478B"/>
    <w:rsid w:val="00424FBE"/>
    <w:rsid w:val="00427F54"/>
    <w:rsid w:val="004320F2"/>
    <w:rsid w:val="0043455A"/>
    <w:rsid w:val="004366EB"/>
    <w:rsid w:val="00436D30"/>
    <w:rsid w:val="00443825"/>
    <w:rsid w:val="00446074"/>
    <w:rsid w:val="00446A00"/>
    <w:rsid w:val="00451E81"/>
    <w:rsid w:val="00453588"/>
    <w:rsid w:val="00454AB9"/>
    <w:rsid w:val="00456699"/>
    <w:rsid w:val="004629C4"/>
    <w:rsid w:val="00470B9E"/>
    <w:rsid w:val="00473A31"/>
    <w:rsid w:val="00475279"/>
    <w:rsid w:val="00484119"/>
    <w:rsid w:val="00493E08"/>
    <w:rsid w:val="004A25A4"/>
    <w:rsid w:val="004A31B5"/>
    <w:rsid w:val="004A4630"/>
    <w:rsid w:val="004A4660"/>
    <w:rsid w:val="004A4F6A"/>
    <w:rsid w:val="004C05AE"/>
    <w:rsid w:val="004C1316"/>
    <w:rsid w:val="004D3C04"/>
    <w:rsid w:val="004E1CB8"/>
    <w:rsid w:val="005056CE"/>
    <w:rsid w:val="0051587C"/>
    <w:rsid w:val="00517257"/>
    <w:rsid w:val="00525AB6"/>
    <w:rsid w:val="005326C1"/>
    <w:rsid w:val="005329E5"/>
    <w:rsid w:val="00537680"/>
    <w:rsid w:val="00544908"/>
    <w:rsid w:val="00545CE3"/>
    <w:rsid w:val="0055226D"/>
    <w:rsid w:val="00562203"/>
    <w:rsid w:val="00563C77"/>
    <w:rsid w:val="00571536"/>
    <w:rsid w:val="00573254"/>
    <w:rsid w:val="00577C3F"/>
    <w:rsid w:val="005838C2"/>
    <w:rsid w:val="005862DF"/>
    <w:rsid w:val="005904C3"/>
    <w:rsid w:val="00595E85"/>
    <w:rsid w:val="005A2453"/>
    <w:rsid w:val="005A3DA1"/>
    <w:rsid w:val="005A5585"/>
    <w:rsid w:val="005A6244"/>
    <w:rsid w:val="005B565D"/>
    <w:rsid w:val="005B5DB6"/>
    <w:rsid w:val="005C548F"/>
    <w:rsid w:val="005C7B3D"/>
    <w:rsid w:val="005D0071"/>
    <w:rsid w:val="005D0BF3"/>
    <w:rsid w:val="005D11B2"/>
    <w:rsid w:val="005D2445"/>
    <w:rsid w:val="005D2B6B"/>
    <w:rsid w:val="005D741B"/>
    <w:rsid w:val="005E0040"/>
    <w:rsid w:val="005E125D"/>
    <w:rsid w:val="005E1933"/>
    <w:rsid w:val="005E3103"/>
    <w:rsid w:val="005E7565"/>
    <w:rsid w:val="005F2C48"/>
    <w:rsid w:val="005F516C"/>
    <w:rsid w:val="0060410C"/>
    <w:rsid w:val="00616425"/>
    <w:rsid w:val="00622D85"/>
    <w:rsid w:val="00623539"/>
    <w:rsid w:val="00623BF6"/>
    <w:rsid w:val="0062674E"/>
    <w:rsid w:val="0063049D"/>
    <w:rsid w:val="00646172"/>
    <w:rsid w:val="00650173"/>
    <w:rsid w:val="006601D5"/>
    <w:rsid w:val="00671595"/>
    <w:rsid w:val="00674363"/>
    <w:rsid w:val="00674AF1"/>
    <w:rsid w:val="00677A9F"/>
    <w:rsid w:val="00683F36"/>
    <w:rsid w:val="00684BA1"/>
    <w:rsid w:val="006861AE"/>
    <w:rsid w:val="006872E7"/>
    <w:rsid w:val="006909AE"/>
    <w:rsid w:val="006921F0"/>
    <w:rsid w:val="006A39EE"/>
    <w:rsid w:val="006A779D"/>
    <w:rsid w:val="006B783D"/>
    <w:rsid w:val="006B7F7F"/>
    <w:rsid w:val="006C2332"/>
    <w:rsid w:val="006C48B3"/>
    <w:rsid w:val="006C6767"/>
    <w:rsid w:val="006D03E4"/>
    <w:rsid w:val="006D20EC"/>
    <w:rsid w:val="006D432A"/>
    <w:rsid w:val="006D487E"/>
    <w:rsid w:val="006D5325"/>
    <w:rsid w:val="006E28BF"/>
    <w:rsid w:val="006F247C"/>
    <w:rsid w:val="0070158E"/>
    <w:rsid w:val="007040E7"/>
    <w:rsid w:val="007108AE"/>
    <w:rsid w:val="00716D25"/>
    <w:rsid w:val="00717B38"/>
    <w:rsid w:val="00722282"/>
    <w:rsid w:val="007230CF"/>
    <w:rsid w:val="00723497"/>
    <w:rsid w:val="007321A3"/>
    <w:rsid w:val="0073286D"/>
    <w:rsid w:val="00737588"/>
    <w:rsid w:val="0074003D"/>
    <w:rsid w:val="0074231E"/>
    <w:rsid w:val="00743417"/>
    <w:rsid w:val="007458D7"/>
    <w:rsid w:val="00760D83"/>
    <w:rsid w:val="0076349E"/>
    <w:rsid w:val="00764575"/>
    <w:rsid w:val="00765693"/>
    <w:rsid w:val="00776102"/>
    <w:rsid w:val="00780059"/>
    <w:rsid w:val="00780871"/>
    <w:rsid w:val="00780C69"/>
    <w:rsid w:val="00781AD2"/>
    <w:rsid w:val="00783E09"/>
    <w:rsid w:val="0078460B"/>
    <w:rsid w:val="007854EF"/>
    <w:rsid w:val="00785510"/>
    <w:rsid w:val="007870A5"/>
    <w:rsid w:val="00790113"/>
    <w:rsid w:val="00795D2C"/>
    <w:rsid w:val="007A49E3"/>
    <w:rsid w:val="007A5369"/>
    <w:rsid w:val="007A7B0D"/>
    <w:rsid w:val="007B073C"/>
    <w:rsid w:val="007B535A"/>
    <w:rsid w:val="007B759C"/>
    <w:rsid w:val="007C0C5B"/>
    <w:rsid w:val="007C23CF"/>
    <w:rsid w:val="007C2701"/>
    <w:rsid w:val="007C3A31"/>
    <w:rsid w:val="007C774A"/>
    <w:rsid w:val="007D0125"/>
    <w:rsid w:val="007D5D67"/>
    <w:rsid w:val="007E02FB"/>
    <w:rsid w:val="007E5F27"/>
    <w:rsid w:val="007E7E71"/>
    <w:rsid w:val="007E7FE7"/>
    <w:rsid w:val="007F388F"/>
    <w:rsid w:val="008113AC"/>
    <w:rsid w:val="00811BCF"/>
    <w:rsid w:val="008150E7"/>
    <w:rsid w:val="00815CBF"/>
    <w:rsid w:val="00816E65"/>
    <w:rsid w:val="0082080D"/>
    <w:rsid w:val="008241D0"/>
    <w:rsid w:val="00824365"/>
    <w:rsid w:val="00831851"/>
    <w:rsid w:val="0083431C"/>
    <w:rsid w:val="0083782D"/>
    <w:rsid w:val="008416B0"/>
    <w:rsid w:val="00845F01"/>
    <w:rsid w:val="008557E5"/>
    <w:rsid w:val="00863930"/>
    <w:rsid w:val="008702D3"/>
    <w:rsid w:val="00873696"/>
    <w:rsid w:val="00873E48"/>
    <w:rsid w:val="00876974"/>
    <w:rsid w:val="00883E72"/>
    <w:rsid w:val="00884AFA"/>
    <w:rsid w:val="00887A17"/>
    <w:rsid w:val="00892CCC"/>
    <w:rsid w:val="008A394B"/>
    <w:rsid w:val="008B206C"/>
    <w:rsid w:val="008B2A96"/>
    <w:rsid w:val="008B665A"/>
    <w:rsid w:val="008C0FE2"/>
    <w:rsid w:val="008C581A"/>
    <w:rsid w:val="008C69E5"/>
    <w:rsid w:val="008D6104"/>
    <w:rsid w:val="008D78D2"/>
    <w:rsid w:val="008E144F"/>
    <w:rsid w:val="008E38F9"/>
    <w:rsid w:val="008E5935"/>
    <w:rsid w:val="008F1AF5"/>
    <w:rsid w:val="008F1D9E"/>
    <w:rsid w:val="008F5DE0"/>
    <w:rsid w:val="008F5F1A"/>
    <w:rsid w:val="00906E87"/>
    <w:rsid w:val="00910A84"/>
    <w:rsid w:val="009113C9"/>
    <w:rsid w:val="00911843"/>
    <w:rsid w:val="00915B95"/>
    <w:rsid w:val="009232B8"/>
    <w:rsid w:val="0093172C"/>
    <w:rsid w:val="009317D0"/>
    <w:rsid w:val="00940FF3"/>
    <w:rsid w:val="00941049"/>
    <w:rsid w:val="00941B64"/>
    <w:rsid w:val="00946010"/>
    <w:rsid w:val="00947543"/>
    <w:rsid w:val="009475F4"/>
    <w:rsid w:val="00947CA8"/>
    <w:rsid w:val="009605C2"/>
    <w:rsid w:val="00966737"/>
    <w:rsid w:val="00970DA7"/>
    <w:rsid w:val="00973961"/>
    <w:rsid w:val="00973B20"/>
    <w:rsid w:val="00985206"/>
    <w:rsid w:val="00985937"/>
    <w:rsid w:val="00994F61"/>
    <w:rsid w:val="009A3D47"/>
    <w:rsid w:val="009A6301"/>
    <w:rsid w:val="009A7B53"/>
    <w:rsid w:val="009B0DDC"/>
    <w:rsid w:val="009B490C"/>
    <w:rsid w:val="009B7524"/>
    <w:rsid w:val="009C16C2"/>
    <w:rsid w:val="009E2C5D"/>
    <w:rsid w:val="009F0108"/>
    <w:rsid w:val="009F035A"/>
    <w:rsid w:val="009F5EF8"/>
    <w:rsid w:val="009F6B2E"/>
    <w:rsid w:val="009F70B3"/>
    <w:rsid w:val="00A03AE5"/>
    <w:rsid w:val="00A12537"/>
    <w:rsid w:val="00A20D89"/>
    <w:rsid w:val="00A311AD"/>
    <w:rsid w:val="00A34C46"/>
    <w:rsid w:val="00A4060F"/>
    <w:rsid w:val="00A44D0C"/>
    <w:rsid w:val="00A4699C"/>
    <w:rsid w:val="00A533EE"/>
    <w:rsid w:val="00A60F62"/>
    <w:rsid w:val="00A67C95"/>
    <w:rsid w:val="00A70296"/>
    <w:rsid w:val="00A73616"/>
    <w:rsid w:val="00A74069"/>
    <w:rsid w:val="00A75209"/>
    <w:rsid w:val="00A95E69"/>
    <w:rsid w:val="00A977C5"/>
    <w:rsid w:val="00AA189F"/>
    <w:rsid w:val="00AA3268"/>
    <w:rsid w:val="00AA38E9"/>
    <w:rsid w:val="00AA4D5D"/>
    <w:rsid w:val="00AB0522"/>
    <w:rsid w:val="00AB1670"/>
    <w:rsid w:val="00AC2D79"/>
    <w:rsid w:val="00AD04F3"/>
    <w:rsid w:val="00AD4394"/>
    <w:rsid w:val="00AD53D7"/>
    <w:rsid w:val="00AD693F"/>
    <w:rsid w:val="00AD72C5"/>
    <w:rsid w:val="00AE0440"/>
    <w:rsid w:val="00AE0598"/>
    <w:rsid w:val="00AE0F21"/>
    <w:rsid w:val="00AE2728"/>
    <w:rsid w:val="00AE51F3"/>
    <w:rsid w:val="00AF138A"/>
    <w:rsid w:val="00AF2BA0"/>
    <w:rsid w:val="00B0274F"/>
    <w:rsid w:val="00B056F3"/>
    <w:rsid w:val="00B05DEB"/>
    <w:rsid w:val="00B17B75"/>
    <w:rsid w:val="00B24E62"/>
    <w:rsid w:val="00B33AED"/>
    <w:rsid w:val="00B355D8"/>
    <w:rsid w:val="00B400A7"/>
    <w:rsid w:val="00B41C5D"/>
    <w:rsid w:val="00B525BB"/>
    <w:rsid w:val="00B6026E"/>
    <w:rsid w:val="00B76D95"/>
    <w:rsid w:val="00B76DCB"/>
    <w:rsid w:val="00B8244C"/>
    <w:rsid w:val="00B90F48"/>
    <w:rsid w:val="00BA00CB"/>
    <w:rsid w:val="00BA0776"/>
    <w:rsid w:val="00BA1082"/>
    <w:rsid w:val="00BA26E4"/>
    <w:rsid w:val="00BA3D91"/>
    <w:rsid w:val="00BA409C"/>
    <w:rsid w:val="00BB27B7"/>
    <w:rsid w:val="00BB3549"/>
    <w:rsid w:val="00BB4E20"/>
    <w:rsid w:val="00BB51C3"/>
    <w:rsid w:val="00BC16BC"/>
    <w:rsid w:val="00BC21EF"/>
    <w:rsid w:val="00BC4431"/>
    <w:rsid w:val="00BE31F1"/>
    <w:rsid w:val="00BF00EF"/>
    <w:rsid w:val="00BF2FF1"/>
    <w:rsid w:val="00C05D3F"/>
    <w:rsid w:val="00C06997"/>
    <w:rsid w:val="00C108DC"/>
    <w:rsid w:val="00C10E4F"/>
    <w:rsid w:val="00C12742"/>
    <w:rsid w:val="00C12994"/>
    <w:rsid w:val="00C12E2C"/>
    <w:rsid w:val="00C149CA"/>
    <w:rsid w:val="00C24966"/>
    <w:rsid w:val="00C2730F"/>
    <w:rsid w:val="00C27ACA"/>
    <w:rsid w:val="00C34800"/>
    <w:rsid w:val="00C533AD"/>
    <w:rsid w:val="00C54EE9"/>
    <w:rsid w:val="00C57ADE"/>
    <w:rsid w:val="00C610AE"/>
    <w:rsid w:val="00C62A97"/>
    <w:rsid w:val="00C64B1F"/>
    <w:rsid w:val="00C717BD"/>
    <w:rsid w:val="00C841BE"/>
    <w:rsid w:val="00C93A52"/>
    <w:rsid w:val="00C94C63"/>
    <w:rsid w:val="00C95495"/>
    <w:rsid w:val="00CA2B9F"/>
    <w:rsid w:val="00CA4DC5"/>
    <w:rsid w:val="00CB3F35"/>
    <w:rsid w:val="00CC2156"/>
    <w:rsid w:val="00CD42BA"/>
    <w:rsid w:val="00CE5A80"/>
    <w:rsid w:val="00CF2BF4"/>
    <w:rsid w:val="00CF331A"/>
    <w:rsid w:val="00D01ACD"/>
    <w:rsid w:val="00D1195C"/>
    <w:rsid w:val="00D207DD"/>
    <w:rsid w:val="00D223C8"/>
    <w:rsid w:val="00D26282"/>
    <w:rsid w:val="00D31060"/>
    <w:rsid w:val="00D341C2"/>
    <w:rsid w:val="00D43CC7"/>
    <w:rsid w:val="00D47B4E"/>
    <w:rsid w:val="00D52A26"/>
    <w:rsid w:val="00D53242"/>
    <w:rsid w:val="00D53746"/>
    <w:rsid w:val="00D55757"/>
    <w:rsid w:val="00D6501B"/>
    <w:rsid w:val="00D65B62"/>
    <w:rsid w:val="00D82CE9"/>
    <w:rsid w:val="00D85E54"/>
    <w:rsid w:val="00D9207B"/>
    <w:rsid w:val="00D93230"/>
    <w:rsid w:val="00D93510"/>
    <w:rsid w:val="00DA4529"/>
    <w:rsid w:val="00DB2F37"/>
    <w:rsid w:val="00DB4A6A"/>
    <w:rsid w:val="00DB5E9C"/>
    <w:rsid w:val="00DC1D16"/>
    <w:rsid w:val="00DC3B55"/>
    <w:rsid w:val="00DD27C2"/>
    <w:rsid w:val="00DD4F81"/>
    <w:rsid w:val="00DD7F8B"/>
    <w:rsid w:val="00DE775A"/>
    <w:rsid w:val="00E04AF4"/>
    <w:rsid w:val="00E06A3F"/>
    <w:rsid w:val="00E06AE6"/>
    <w:rsid w:val="00E07632"/>
    <w:rsid w:val="00E202C3"/>
    <w:rsid w:val="00E235D6"/>
    <w:rsid w:val="00E31534"/>
    <w:rsid w:val="00E32584"/>
    <w:rsid w:val="00E32E11"/>
    <w:rsid w:val="00E419AA"/>
    <w:rsid w:val="00E43AB7"/>
    <w:rsid w:val="00E44C52"/>
    <w:rsid w:val="00E5162A"/>
    <w:rsid w:val="00E525AA"/>
    <w:rsid w:val="00E53037"/>
    <w:rsid w:val="00E56087"/>
    <w:rsid w:val="00E71578"/>
    <w:rsid w:val="00E718B2"/>
    <w:rsid w:val="00E76944"/>
    <w:rsid w:val="00E81C03"/>
    <w:rsid w:val="00E82219"/>
    <w:rsid w:val="00E84607"/>
    <w:rsid w:val="00E84BB0"/>
    <w:rsid w:val="00E85806"/>
    <w:rsid w:val="00E85D36"/>
    <w:rsid w:val="00E87F4E"/>
    <w:rsid w:val="00E90C74"/>
    <w:rsid w:val="00E9400C"/>
    <w:rsid w:val="00EA47A0"/>
    <w:rsid w:val="00EB2E9B"/>
    <w:rsid w:val="00EC7633"/>
    <w:rsid w:val="00ED003D"/>
    <w:rsid w:val="00EE2DF9"/>
    <w:rsid w:val="00EE5EDF"/>
    <w:rsid w:val="00EE5FF7"/>
    <w:rsid w:val="00EF0416"/>
    <w:rsid w:val="00EF1E61"/>
    <w:rsid w:val="00EF649E"/>
    <w:rsid w:val="00F01E61"/>
    <w:rsid w:val="00F02C21"/>
    <w:rsid w:val="00F06F85"/>
    <w:rsid w:val="00F11AE2"/>
    <w:rsid w:val="00F124B2"/>
    <w:rsid w:val="00F1281F"/>
    <w:rsid w:val="00F12907"/>
    <w:rsid w:val="00F17978"/>
    <w:rsid w:val="00F21DC1"/>
    <w:rsid w:val="00F231DD"/>
    <w:rsid w:val="00F27CBD"/>
    <w:rsid w:val="00F3067E"/>
    <w:rsid w:val="00F30AB5"/>
    <w:rsid w:val="00F31AA7"/>
    <w:rsid w:val="00F36AF7"/>
    <w:rsid w:val="00F36B3C"/>
    <w:rsid w:val="00F41341"/>
    <w:rsid w:val="00F42F85"/>
    <w:rsid w:val="00F46233"/>
    <w:rsid w:val="00F60FD4"/>
    <w:rsid w:val="00F644F7"/>
    <w:rsid w:val="00F64F2A"/>
    <w:rsid w:val="00F776F3"/>
    <w:rsid w:val="00F8440A"/>
    <w:rsid w:val="00F95480"/>
    <w:rsid w:val="00F96219"/>
    <w:rsid w:val="00F97E58"/>
    <w:rsid w:val="00FA1D8F"/>
    <w:rsid w:val="00FA3990"/>
    <w:rsid w:val="00FA52E8"/>
    <w:rsid w:val="00FB72D7"/>
    <w:rsid w:val="00FC12AB"/>
    <w:rsid w:val="00FC3C32"/>
    <w:rsid w:val="00FD0371"/>
    <w:rsid w:val="00FE3B18"/>
    <w:rsid w:val="00FF1EDA"/>
    <w:rsid w:val="00FF6E58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6D487E"/>
    <w:pPr>
      <w:ind w:left="720"/>
      <w:contextualSpacing/>
    </w:pPr>
  </w:style>
  <w:style w:type="table" w:styleId="afa">
    <w:name w:val="Table Grid"/>
    <w:basedOn w:val="a1"/>
    <w:rsid w:val="002B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192C9B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06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6D487E"/>
    <w:pPr>
      <w:ind w:left="720"/>
      <w:contextualSpacing/>
    </w:pPr>
  </w:style>
  <w:style w:type="table" w:styleId="afa">
    <w:name w:val="Table Grid"/>
    <w:basedOn w:val="a1"/>
    <w:rsid w:val="002B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192C9B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06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0F37-88D7-491B-A63B-991FB35D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49</cp:revision>
  <cp:lastPrinted>2021-05-12T08:36:00Z</cp:lastPrinted>
  <dcterms:created xsi:type="dcterms:W3CDTF">2024-04-18T06:07:00Z</dcterms:created>
  <dcterms:modified xsi:type="dcterms:W3CDTF">2024-04-26T06:18:00Z</dcterms:modified>
</cp:coreProperties>
</file>