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9" w:rsidRDefault="00045299" w:rsidP="000B0E6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99" w:rsidRPr="00045299" w:rsidRDefault="00045299" w:rsidP="00045299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452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045299" w:rsidRPr="00045299" w:rsidRDefault="00045299" w:rsidP="00045299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29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045299" w:rsidRPr="00045299" w:rsidRDefault="00045299" w:rsidP="0004529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52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0452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0452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045299" w:rsidRPr="00045299" w:rsidRDefault="00045299" w:rsidP="000452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299" w:rsidRPr="00045299" w:rsidRDefault="00045299" w:rsidP="000452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299" w:rsidRPr="00045299" w:rsidRDefault="00045299" w:rsidP="00045299">
      <w:pPr>
        <w:spacing w:after="0" w:line="240" w:lineRule="auto"/>
        <w:ind w:left="140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045299" w:rsidRPr="00045299" w:rsidRDefault="00045299" w:rsidP="00045299">
      <w:pPr>
        <w:spacing w:after="0" w:line="240" w:lineRule="auto"/>
        <w:rPr>
          <w:rFonts w:ascii="Verdana" w:eastAsia="Times New Roman" w:hAnsi="Verdana" w:cs="Times New Roman"/>
          <w:b/>
          <w:sz w:val="4"/>
          <w:szCs w:val="4"/>
        </w:rPr>
      </w:pPr>
    </w:p>
    <w:p w:rsidR="00045299" w:rsidRPr="00045299" w:rsidRDefault="00045299" w:rsidP="000452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52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045299" w:rsidRPr="00045299" w:rsidRDefault="00045299" w:rsidP="0004529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299" w:rsidRPr="00045299" w:rsidRDefault="00045299" w:rsidP="00045299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 31 июля 2023 года           </w:t>
      </w:r>
      <w:proofErr w:type="spellStart"/>
      <w:r w:rsidRPr="00045299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п</w:t>
      </w:r>
      <w:proofErr w:type="gramStart"/>
      <w:r w:rsidRPr="00045299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.К</w:t>
      </w:r>
      <w:proofErr w:type="gramEnd"/>
      <w:r w:rsidRPr="00045299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онышевка</w:t>
      </w:r>
      <w:proofErr w:type="spellEnd"/>
      <w:r w:rsidRPr="0004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№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:rsidR="00045299" w:rsidRPr="00045299" w:rsidRDefault="00045299" w:rsidP="00045299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299" w:rsidRPr="00045299" w:rsidRDefault="00045299" w:rsidP="00045299">
      <w:pPr>
        <w:spacing w:after="0" w:line="240" w:lineRule="auto"/>
        <w:ind w:right="-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6E" w:rsidRPr="00045299" w:rsidRDefault="000B0E6E" w:rsidP="000B0E6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E6E" w:rsidRDefault="000B0E6E" w:rsidP="000B0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от 17.02.2010 г. № 34</w:t>
      </w:r>
    </w:p>
    <w:p w:rsidR="000B0E6E" w:rsidRDefault="000B0E6E" w:rsidP="000B0E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введении новой системы оплаты труда работников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045299" w:rsidRDefault="000B0E6E" w:rsidP="00045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="0004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изменениями и дополнениями)</w:t>
      </w:r>
    </w:p>
    <w:p w:rsidR="00045299" w:rsidRPr="004943D2" w:rsidRDefault="00045299" w:rsidP="002C5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712" w:rsidRPr="004943D2" w:rsidRDefault="000B0E6E" w:rsidP="002C5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2602B" w:rsidRPr="004943D2" w:rsidRDefault="0062602B" w:rsidP="002C538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0EC" w:rsidRDefault="0031413E" w:rsidP="00314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Курской области от 0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12.2009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165 «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введении  новой  системы  оплаты  труда работников областных государственных учреждений, подведомственных комитету образования и науки Курской обла</w:t>
      </w:r>
      <w:r w:rsidR="0084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(с изменениями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08 июня 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4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84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621-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па),</w:t>
      </w:r>
      <w:r w:rsidR="000B0E6E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 xml:space="preserve"> 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постановлением  Администрации </w:t>
      </w:r>
      <w:r w:rsidR="004A7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от 28.12.2009 </w:t>
      </w:r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№328 «О введении новых систем оплаты труда работников муниципальных бюджетных и казенных учреждений, созданных</w:t>
      </w:r>
      <w:proofErr w:type="gramEnd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Уставом </w:t>
      </w:r>
      <w:proofErr w:type="spellStart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оплата труда которых в настоящее время осуществляется на основе Единой тарифной сетки по оплате труда работников муниципальных учреждений» и в целях совершенствования отраслевой системы оплаты труда работников муниципальных  учреждений, подведомственных управлению образования Администрации </w:t>
      </w:r>
      <w:proofErr w:type="spellStart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0B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</w:t>
      </w:r>
      <w:r w:rsidR="000B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РЕШИЛО: </w:t>
      </w:r>
      <w:r w:rsidR="000B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</w:p>
    <w:p w:rsidR="002C5384" w:rsidRPr="002C5384" w:rsidRDefault="002C5384" w:rsidP="00314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602B" w:rsidRDefault="000B0E6E" w:rsidP="00314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прилагаемые изменения, которые вносятся в 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17.02.2010 года  №34 «О введении  новой  системы  оплаты  труда работников муниципальных учреждений, подведомственных управлению 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</w:t>
      </w:r>
      <w:r w:rsidR="00626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2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последующими изменениями и дополнениями).</w:t>
      </w:r>
    </w:p>
    <w:p w:rsidR="0062602B" w:rsidRDefault="0062602B" w:rsidP="00314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02B" w:rsidRDefault="0062602B" w:rsidP="00314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4A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</w:t>
      </w:r>
      <w:r w:rsidR="004A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79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gramStart"/>
      <w:r w:rsidR="00791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Стариковскую</w:t>
      </w:r>
      <w:proofErr w:type="gram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299" w:rsidRDefault="00045299" w:rsidP="00314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6E" w:rsidRDefault="00791C75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и распространяется на правоотношения, возникшие с 1 сентября 202</w:t>
      </w:r>
      <w:r w:rsidR="008417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 </w:t>
      </w: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А.И. Лукьянова</w:t>
      </w: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99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B0E6E" w:rsidRDefault="000B0E6E" w:rsidP="0004529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626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62602B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3141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E9F" w:rsidRDefault="00927E9F" w:rsidP="0031413E">
      <w:pPr>
        <w:jc w:val="both"/>
      </w:pPr>
    </w:p>
    <w:p w:rsidR="00841712" w:rsidRDefault="00841712" w:rsidP="0031413E">
      <w:pPr>
        <w:jc w:val="both"/>
      </w:pPr>
    </w:p>
    <w:p w:rsidR="00841712" w:rsidRDefault="00841712" w:rsidP="0031413E">
      <w:pPr>
        <w:jc w:val="both"/>
      </w:pPr>
    </w:p>
    <w:p w:rsidR="00841712" w:rsidRDefault="00841712" w:rsidP="0031413E">
      <w:pPr>
        <w:jc w:val="both"/>
      </w:pPr>
    </w:p>
    <w:p w:rsidR="00841712" w:rsidRDefault="00841712" w:rsidP="0031413E">
      <w:pPr>
        <w:jc w:val="both"/>
      </w:pPr>
    </w:p>
    <w:p w:rsidR="00841712" w:rsidRDefault="00841712" w:rsidP="0031413E">
      <w:pPr>
        <w:jc w:val="both"/>
      </w:pPr>
    </w:p>
    <w:p w:rsidR="00841712" w:rsidRDefault="00841712" w:rsidP="00012591"/>
    <w:p w:rsidR="00841712" w:rsidRDefault="00841712" w:rsidP="00012591"/>
    <w:p w:rsidR="00841712" w:rsidRDefault="00841712" w:rsidP="00012591"/>
    <w:p w:rsidR="00841712" w:rsidRDefault="00841712" w:rsidP="00012591"/>
    <w:p w:rsidR="00841712" w:rsidRDefault="00841712" w:rsidP="00012591"/>
    <w:p w:rsidR="00841712" w:rsidRDefault="00841712" w:rsidP="00012591"/>
    <w:p w:rsidR="00841712" w:rsidRDefault="00841712" w:rsidP="00012591"/>
    <w:p w:rsidR="00841712" w:rsidRDefault="00841712" w:rsidP="00012591"/>
    <w:p w:rsidR="00841712" w:rsidRPr="00841712" w:rsidRDefault="005E3380" w:rsidP="0001259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  <w:r w:rsidR="00356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</w:p>
    <w:p w:rsidR="00841712" w:rsidRPr="00841712" w:rsidRDefault="00841712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5E3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ешением Представительного Собрания </w:t>
      </w:r>
    </w:p>
    <w:p w:rsidR="00841712" w:rsidRPr="00841712" w:rsidRDefault="00841712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E3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841712" w:rsidRDefault="005E3380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45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45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045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 июля 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45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339</w:t>
      </w:r>
    </w:p>
    <w:p w:rsidR="00841712" w:rsidRDefault="00841712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87E" w:rsidRDefault="0005187E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299" w:rsidRPr="00841712" w:rsidRDefault="00045299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1712" w:rsidRPr="00841712" w:rsidRDefault="00841712" w:rsidP="0005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6"/>
      <w:bookmarkEnd w:id="0"/>
      <w:r w:rsidRPr="008417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ИЗМЕНЕНИЯ,</w:t>
      </w:r>
    </w:p>
    <w:p w:rsidR="0005187E" w:rsidRDefault="00841712" w:rsidP="0005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которые вносятся в решение Представительного Собрания </w:t>
      </w:r>
      <w:r w:rsidR="005E338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от 17.02.2010 года №34 «О введении новой системы оплаты труда рабо</w:t>
      </w:r>
      <w:r w:rsidR="000452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тников муниципальных учреждений</w:t>
      </w: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</w:t>
      </w:r>
      <w:r w:rsidR="000518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2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подведомственных управлению образования Администрации </w:t>
      </w:r>
      <w:proofErr w:type="spellStart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области»</w:t>
      </w:r>
      <w:proofErr w:type="gramEnd"/>
    </w:p>
    <w:p w:rsidR="00841712" w:rsidRPr="00841712" w:rsidRDefault="00841712" w:rsidP="0005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(с последующими изменениями и дополнениями</w:t>
      </w:r>
      <w:proofErr w:type="gramStart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841712" w:rsidRDefault="00841712" w:rsidP="0005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299" w:rsidRPr="00841712" w:rsidRDefault="00045299" w:rsidP="0005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5A" w:rsidRPr="0005187E" w:rsidRDefault="00841712" w:rsidP="000518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Примерное положение  об оплате труда работников муниципальных казенных учреждений, подведомственных управлению образования Администрации </w:t>
      </w:r>
      <w:proofErr w:type="spellStart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 виду экономической деятельности «Образование», утвержденном решением Представительного Собрания </w:t>
      </w:r>
      <w:proofErr w:type="spellStart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17.02.2010 года  №34  «О  введении  новой  системы  оплаты  труда работников муниципальных учреждений, подведомственных управлению образования Администрации </w:t>
      </w:r>
      <w:proofErr w:type="spellStart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</w:t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 </w:t>
      </w:r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последую</w:t>
      </w:r>
      <w:r w:rsidR="000452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изменениями и дополнениями</w:t>
      </w:r>
      <w:r w:rsidR="00356A5A" w:rsidRPr="0005187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 изменения:</w:t>
      </w:r>
      <w:proofErr w:type="gramEnd"/>
    </w:p>
    <w:p w:rsidR="00356A5A" w:rsidRPr="0005187E" w:rsidRDefault="00356A5A" w:rsidP="000518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0518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II</w:t>
        </w:r>
      </w:hyperlink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hyperlink r:id="rId8" w:history="1">
        <w:r w:rsidRPr="000518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подразделе </w:t>
        </w:r>
      </w:hyperlink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пункта 3.1.,в </w:t>
      </w:r>
      <w:hyperlink r:id="rId9" w:history="1">
        <w:r w:rsidRPr="000518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абзацах </w:t>
        </w:r>
      </w:hyperlink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втором  </w:t>
      </w:r>
      <w:hyperlink r:id="rId10" w:history="1">
        <w:r w:rsidRPr="000518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"8517 рублей" заменить словами "8855 рублей", в </w:t>
      </w:r>
      <w:hyperlink r:id="rId11" w:history="1">
        <w:r w:rsidRPr="000518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</w:t>
        </w:r>
      </w:hyperlink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"6706 рубль", "7434 рублей" и "8170 рублей" заменить соответственно словами "6975 рублей", "7732 рубля" и "8498 рублей";</w:t>
      </w:r>
      <w:bookmarkStart w:id="1" w:name="Par62"/>
      <w:bookmarkEnd w:id="1"/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12" w:history="1">
        <w:r w:rsidRPr="000518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пункте 3.2</w:t>
        </w:r>
      </w:hyperlink>
      <w:r w:rsidRPr="00051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абзаца второго слова "9668 рублей" </w:t>
      </w:r>
      <w:r w:rsidR="00045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 словами "10200 рублей".</w:t>
      </w:r>
      <w:proofErr w:type="gramEnd"/>
    </w:p>
    <w:p w:rsidR="00356A5A" w:rsidRPr="0005187E" w:rsidRDefault="00356A5A" w:rsidP="000518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1.2.Приложение №1, Приложение №2, Приложение</w:t>
      </w:r>
      <w:r w:rsidR="00045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187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№3, Приложение№4, Приложение №5  изложить  в новой редакции (прилагаются).</w:t>
      </w:r>
    </w:p>
    <w:p w:rsidR="005E3380" w:rsidRDefault="005E3380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187E" w:rsidRDefault="0005187E" w:rsidP="00045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Default="005E3380" w:rsidP="0057585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П</w:t>
      </w:r>
      <w:r w:rsidR="0035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N 1</w:t>
      </w:r>
    </w:p>
    <w:p w:rsidR="00045299" w:rsidRPr="004943D2" w:rsidRDefault="00045299" w:rsidP="0057585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A5A" w:rsidRPr="003C76FC" w:rsidRDefault="00356A5A" w:rsidP="0057585F">
      <w:pPr>
        <w:keepNext/>
        <w:keepLines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56A5A" w:rsidRDefault="00356A5A" w:rsidP="0057585F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ПРОФЕССИОНАЛЬНЫЕ  КВАЛИФИКАЦИОННЫЕ ГРУППЫ ДОЛЖНОСТЕЙ РАБОТНИКОВ ОБРАЗОВАНИЯ</w:t>
      </w:r>
    </w:p>
    <w:p w:rsidR="00045299" w:rsidRPr="004943D2" w:rsidRDefault="00356A5A" w:rsidP="004943D2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  <w:br/>
      </w: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4386"/>
        <w:gridCol w:w="2103"/>
      </w:tblGrid>
      <w:tr w:rsidR="00356A5A" w:rsidRPr="001C3291" w:rsidTr="000A3200">
        <w:trPr>
          <w:trHeight w:val="1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356A5A" w:rsidRPr="00FE2B0C" w:rsidTr="000A3200"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0A3200"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57585F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45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</w:tbl>
    <w:p w:rsidR="00356A5A" w:rsidRPr="003C76FC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Pr="00333AD4" w:rsidRDefault="00356A5A" w:rsidP="0004529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A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773"/>
        <w:gridCol w:w="2321"/>
      </w:tblGrid>
      <w:tr w:rsidR="00356A5A" w:rsidRPr="00FE2B0C" w:rsidTr="00B1714A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B1714A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45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  <w:tr w:rsidR="00356A5A" w:rsidRPr="00FE2B0C" w:rsidTr="00B1714A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57585F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45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</w:tbl>
    <w:p w:rsidR="00356A5A" w:rsidRPr="003C76FC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Default="00356A5A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</w:t>
      </w:r>
    </w:p>
    <w:p w:rsidR="00356A5A" w:rsidRPr="0057585F" w:rsidRDefault="00356A5A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</w:t>
      </w:r>
      <w:r w:rsidR="005758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их работников</w:t>
      </w:r>
    </w:p>
    <w:tbl>
      <w:tblPr>
        <w:tblW w:w="9782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1843"/>
        <w:gridCol w:w="1559"/>
      </w:tblGrid>
      <w:tr w:rsidR="00356A5A" w:rsidRPr="003C76FC" w:rsidTr="004943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85F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r w:rsidR="0057585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ностной</w:t>
            </w:r>
            <w:proofErr w:type="spellEnd"/>
            <w:proofErr w:type="gramEnd"/>
          </w:p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 оклад (ставка),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57585F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0518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 оклад при наличии высшей </w:t>
            </w:r>
            <w:proofErr w:type="spell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0518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r w:rsidR="0057585F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 (ставка), руб.</w:t>
            </w:r>
          </w:p>
        </w:tc>
      </w:tr>
      <w:tr w:rsidR="00356A5A" w:rsidRPr="003C76FC" w:rsidTr="004943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299" w:rsidRDefault="0005187E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1-й </w:t>
            </w:r>
          </w:p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10768</w:t>
            </w:r>
          </w:p>
        </w:tc>
      </w:tr>
      <w:tr w:rsidR="00356A5A" w:rsidRPr="003C76FC" w:rsidTr="004943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299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2-й </w:t>
            </w:r>
          </w:p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87E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11555</w:t>
            </w:r>
          </w:p>
        </w:tc>
      </w:tr>
      <w:tr w:rsidR="00356A5A" w:rsidRPr="003C76FC" w:rsidTr="004943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299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3-й </w:t>
            </w:r>
          </w:p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11669</w:t>
            </w:r>
          </w:p>
        </w:tc>
      </w:tr>
      <w:tr w:rsidR="00356A5A" w:rsidRPr="003C76FC" w:rsidTr="004943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299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4-й</w:t>
            </w:r>
          </w:p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11786</w:t>
            </w:r>
          </w:p>
        </w:tc>
      </w:tr>
    </w:tbl>
    <w:p w:rsidR="00356A5A" w:rsidRPr="00333AD4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57585F" w:rsidRDefault="0057585F" w:rsidP="0005187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A5A" w:rsidRPr="0057585F" w:rsidRDefault="00356A5A" w:rsidP="0005187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квалификационная группа должностей руководителей</w:t>
      </w:r>
    </w:p>
    <w:p w:rsidR="00356A5A" w:rsidRPr="0057585F" w:rsidRDefault="00356A5A" w:rsidP="0005187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структурных подразделений</w:t>
      </w:r>
    </w:p>
    <w:p w:rsidR="00356A5A" w:rsidRPr="0057585F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216"/>
        <w:gridCol w:w="2457"/>
      </w:tblGrid>
      <w:tr w:rsidR="00356A5A" w:rsidRPr="003C76FC" w:rsidTr="0005187E">
        <w:trPr>
          <w:trHeight w:val="1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A5A" w:rsidRPr="0005187E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A5A" w:rsidRPr="0057585F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05187E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5187E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  <w:p w:rsidR="0057585F" w:rsidRPr="003C76FC" w:rsidRDefault="0057585F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12345</w:t>
            </w: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образования детей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12468</w:t>
            </w: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учреждения (подразделения) среднего профессионального образования</w:t>
            </w:r>
            <w:proofErr w:type="gramEnd"/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518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12587</w:t>
            </w:r>
          </w:p>
        </w:tc>
      </w:tr>
    </w:tbl>
    <w:p w:rsidR="00356A5A" w:rsidRPr="003C76FC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56A5A" w:rsidRPr="003C76FC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 Кроме должностей руководителей структурных подразделений, отнесенных ко 2-му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356A5A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** Кроме должностей руководителей структурных подразделений, отнесенных к 3-му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57585F" w:rsidRDefault="0057585F" w:rsidP="00012591">
      <w:pPr>
        <w:spacing w:after="24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spacing w:after="24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57585F" w:rsidRDefault="00356A5A" w:rsidP="0057585F">
      <w:pPr>
        <w:spacing w:after="240" w:line="240" w:lineRule="auto"/>
        <w:ind w:left="63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2</w:t>
      </w: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7585F" w:rsidRDefault="00356A5A" w:rsidP="002C53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</w:t>
      </w:r>
      <w:r w:rsidR="00494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ИТЕЛЕЙ, СПЕЦИАЛИСТОВ И СЛУЖАЩИХ</w:t>
      </w:r>
    </w:p>
    <w:p w:rsidR="002C5384" w:rsidRPr="002C5384" w:rsidRDefault="002C5384" w:rsidP="002C53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43D2" w:rsidRDefault="00356A5A" w:rsidP="002C538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4943D2" w:rsidRDefault="004943D2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"Общеотраслевые дол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жности служащих первого уровня"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841"/>
      </w:tblGrid>
      <w:tr w:rsidR="00356A5A" w:rsidRPr="00FE2B0C" w:rsidTr="004943D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D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  <w:br/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4943D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снабжению; делопроизводитель; калькулятор; кассир; комендант; машинистка; секретарь; секретарь-машинистка; счетовод; экспедитор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  <w:tr w:rsidR="00356A5A" w:rsidRPr="00FE2B0C" w:rsidTr="004943D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</w:tbl>
    <w:p w:rsidR="00356A5A" w:rsidRPr="002C5384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Pr="00FE2B0C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</w:t>
      </w:r>
      <w:r w:rsidR="0057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жности служащих второго уровня"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56"/>
        <w:gridCol w:w="1705"/>
      </w:tblGrid>
      <w:tr w:rsidR="00356A5A" w:rsidRPr="00FE2B0C" w:rsidTr="004943D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4943D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Администратор; диспетчер; инспектор по кадрам; лаборант; техник; художник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  <w:tr w:rsidR="00356A5A" w:rsidRPr="00FE2B0C" w:rsidTr="004943D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складом; заведующий хозяйством; руководитель группы инвентаризации строений и сооружений.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  <w:tr w:rsidR="00356A5A" w:rsidRPr="00FE2B0C" w:rsidTr="004943D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  <w:tr w:rsidR="00356A5A" w:rsidRPr="00FE2B0C" w:rsidTr="004943D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</w:tr>
      <w:tr w:rsidR="00356A5A" w:rsidRPr="00FE2B0C" w:rsidTr="004943D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мастерской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</w:tbl>
    <w:p w:rsidR="004943D2" w:rsidRPr="002C5384" w:rsidRDefault="004943D2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Default="00356A5A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</w:t>
      </w:r>
      <w:r w:rsidR="00494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служащих третьего уровня"</w:t>
      </w:r>
    </w:p>
    <w:p w:rsidR="002C5384" w:rsidRPr="00333AD4" w:rsidRDefault="002C5384" w:rsidP="004943D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356A5A" w:rsidRPr="00FE2B0C" w:rsidTr="004943D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4943D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бухгалтер-ревизор; инженер; инженер-программист; программист; специалист по кадрам; экономист; юрисконсульт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  <w:tr w:rsidR="00356A5A" w:rsidRPr="00FE2B0C" w:rsidTr="004943D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</w:tr>
      <w:tr w:rsidR="00356A5A" w:rsidRPr="00FE2B0C" w:rsidTr="004943D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  <w:tr w:rsidR="00356A5A" w:rsidRPr="00FE2B0C" w:rsidTr="004943D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11251</w:t>
            </w:r>
          </w:p>
        </w:tc>
      </w:tr>
      <w:tr w:rsidR="00356A5A" w:rsidRPr="00FE2B0C" w:rsidTr="004943D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494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13315</w:t>
            </w:r>
          </w:p>
        </w:tc>
      </w:tr>
    </w:tbl>
    <w:p w:rsidR="00356A5A" w:rsidRPr="00B40616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57585F" w:rsidRDefault="0057585F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A5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служащих четвертого уровня"</w:t>
      </w:r>
    </w:p>
    <w:p w:rsidR="00356A5A" w:rsidRPr="00333AD4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356A5A" w:rsidRPr="00FE2B0C" w:rsidTr="00F42600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F426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13315</w:t>
            </w:r>
          </w:p>
        </w:tc>
      </w:tr>
    </w:tbl>
    <w:p w:rsidR="0057585F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3D2" w:rsidRDefault="004943D2" w:rsidP="0057585F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3D2" w:rsidRDefault="004943D2" w:rsidP="0057585F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3D2" w:rsidRDefault="004943D2" w:rsidP="0057585F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3D2" w:rsidRDefault="004943D2" w:rsidP="0057585F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384" w:rsidRDefault="002C5384" w:rsidP="0057585F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356A5A" w:rsidP="004943D2">
      <w:pPr>
        <w:ind w:left="6372" w:firstLine="14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3</w:t>
      </w:r>
    </w:p>
    <w:p w:rsidR="00356A5A" w:rsidRDefault="00356A5A" w:rsidP="005758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БЩЕОТРАСЛЕВЫХ ПРОФЕССИЙ РАБОЧИХ</w:t>
      </w:r>
    </w:p>
    <w:p w:rsidR="00356A5A" w:rsidRPr="00B40616" w:rsidRDefault="00356A5A" w:rsidP="005758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57585F" w:rsidRPr="00AA3444" w:rsidRDefault="0057585F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A5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первого уровня"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843"/>
      </w:tblGrid>
      <w:tr w:rsidR="00356A5A" w:rsidRPr="00FE2B0C" w:rsidTr="00AA344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AA344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рабочих; гардеробщик; дворник; 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истопник; кастелянша; кладовщик;  повар</w:t>
            </w: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курьер; сторож (вахтер); уборщик производственных помещений; уборщик служебных помещений; уборщик территорий; оператор газовой котельной; машинист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отоплению 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5499</w:t>
            </w:r>
          </w:p>
        </w:tc>
      </w:tr>
      <w:tr w:rsidR="00356A5A" w:rsidRPr="00FE2B0C" w:rsidTr="00AA344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</w:tbl>
    <w:p w:rsidR="0057585F" w:rsidRPr="00AA3444" w:rsidRDefault="0057585F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A5A" w:rsidRPr="00AA3444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3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</w:t>
      </w:r>
    </w:p>
    <w:p w:rsidR="00356A5A" w:rsidRPr="00AA3444" w:rsidRDefault="00356A5A" w:rsidP="00AA344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3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"Общеотраслевые пр</w:t>
      </w:r>
      <w:r w:rsidR="00AA3444" w:rsidRPr="00AA3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офессии рабочих второго уровня"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843"/>
      </w:tblGrid>
      <w:tr w:rsidR="00356A5A" w:rsidRPr="00FE2B0C" w:rsidTr="003738E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3738E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85F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  <w:tr w:rsidR="00356A5A" w:rsidRPr="00FE2B0C" w:rsidTr="003738E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</w:tr>
      <w:tr w:rsidR="00356A5A" w:rsidRPr="00FE2B0C" w:rsidTr="003738E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9339</w:t>
            </w:r>
          </w:p>
        </w:tc>
      </w:tr>
      <w:tr w:rsidR="00356A5A" w:rsidRPr="00FE2B0C" w:rsidTr="003738E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4-й квалификационный уровень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10256</w:t>
            </w:r>
          </w:p>
        </w:tc>
      </w:tr>
    </w:tbl>
    <w:p w:rsidR="0057585F" w:rsidRDefault="0057585F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A5A" w:rsidRPr="00FE2B0C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в соответствии с профессиональными стандартами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356A5A" w:rsidRPr="00FE2B0C" w:rsidTr="00F42600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B57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</w:tbl>
    <w:p w:rsidR="005E3380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57585F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575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3D2" w:rsidRDefault="005E3380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3444" w:rsidRDefault="00AA344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44" w:rsidRDefault="00AA344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44" w:rsidRDefault="00AA344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44" w:rsidRDefault="00AA344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44" w:rsidRDefault="00AA344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444" w:rsidRDefault="00AA344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356A5A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№4</w:t>
      </w:r>
    </w:p>
    <w:p w:rsidR="00356A5A" w:rsidRPr="00082B16" w:rsidRDefault="00356A5A" w:rsidP="0057585F">
      <w:pPr>
        <w:tabs>
          <w:tab w:val="left" w:pos="0"/>
        </w:tabs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ПРОФЕССИОНАЛЬНЫЕ КВАЛИФИКАЦИОННЫЕ ГРУППЫ ДОЛЖНОСТЕЙ РАБОТНИКОВ КУЛЬТУРЫ, ИСКУССТВА И КИНЕМАТОГРА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62"/>
        <w:gridCol w:w="2117"/>
      </w:tblGrid>
      <w:tr w:rsidR="00356A5A" w:rsidRPr="00FE2B0C" w:rsidTr="00F42600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тистов вспомогательного состава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5791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 среднего звена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костюмерной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 ведущего звена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руководящего состава учреждений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уры, искусства и кинематографии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(балетмейстер); звукорежиссер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</w:t>
            </w:r>
          </w:p>
        </w:tc>
      </w:tr>
    </w:tbl>
    <w:p w:rsidR="0057585F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585F" w:rsidRDefault="0057585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57585F" w:rsidRDefault="002C5384" w:rsidP="0057585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356A5A"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№5</w:t>
      </w:r>
    </w:p>
    <w:p w:rsidR="00AA3444" w:rsidRDefault="00AA3444" w:rsidP="005758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56A5A" w:rsidRPr="0057585F" w:rsidRDefault="00356A5A" w:rsidP="005758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758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ПРОФЕССИОНАЛЬНЫЕ КВАЛИФИКАЦИОННЫЕ</w:t>
      </w:r>
    </w:p>
    <w:p w:rsidR="00356A5A" w:rsidRPr="0057585F" w:rsidRDefault="00356A5A" w:rsidP="005758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758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ГРУППЫ ДОЛЖНОСТЕЙ МЕДИЦИНСКИХ И</w:t>
      </w:r>
    </w:p>
    <w:p w:rsidR="00356A5A" w:rsidRPr="0057585F" w:rsidRDefault="00356A5A" w:rsidP="005758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758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ФАРМАЦЕВТИЧЕСКИХ РАБОТНИКОВ</w:t>
      </w:r>
    </w:p>
    <w:p w:rsidR="00356A5A" w:rsidRPr="002C5384" w:rsidRDefault="00356A5A" w:rsidP="005758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A5A" w:rsidRPr="00082B16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</w:t>
      </w:r>
    </w:p>
    <w:p w:rsidR="00AA3444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"Медицинский и фармацевтический персонал первого уровня"</w:t>
      </w:r>
    </w:p>
    <w:p w:rsidR="00356A5A" w:rsidRPr="007F70D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4301"/>
        <w:gridCol w:w="2107"/>
      </w:tblGrid>
      <w:tr w:rsidR="00356A5A" w:rsidRPr="00FE2B0C" w:rsidTr="005E338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57585F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5E338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  <w:p w:rsidR="002C5384" w:rsidRPr="00FE2B0C" w:rsidRDefault="002C5384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7315</w:t>
            </w:r>
          </w:p>
        </w:tc>
      </w:tr>
    </w:tbl>
    <w:p w:rsidR="00356A5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A3444" w:rsidRPr="007F70DA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082B16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</w:t>
      </w:r>
    </w:p>
    <w:p w:rsidR="00AA3444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"Средний медицинский и фармацевтический персонал"</w:t>
      </w:r>
    </w:p>
    <w:p w:rsidR="00356A5A" w:rsidRPr="007F70D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72"/>
        <w:gridCol w:w="1198"/>
        <w:gridCol w:w="1424"/>
        <w:gridCol w:w="1701"/>
        <w:gridCol w:w="1843"/>
      </w:tblGrid>
      <w:tr w:rsidR="00356A5A" w:rsidRPr="00082B16" w:rsidTr="0057585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второй квалификационной категории, руб.</w:t>
            </w:r>
          </w:p>
          <w:p w:rsidR="00AA3444" w:rsidRPr="00AA3444" w:rsidRDefault="00AA3444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квалификационной категории, руб.</w:t>
            </w:r>
          </w:p>
        </w:tc>
      </w:tr>
      <w:tr w:rsidR="00356A5A" w:rsidRPr="00082B16" w:rsidTr="0057585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Инструктор по лечебной физкультуре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9648</w:t>
            </w:r>
          </w:p>
        </w:tc>
      </w:tr>
      <w:tr w:rsidR="00356A5A" w:rsidRPr="00082B16" w:rsidTr="0057585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диетическая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11892</w:t>
            </w:r>
          </w:p>
        </w:tc>
      </w:tr>
      <w:tr w:rsidR="00356A5A" w:rsidRPr="00082B16" w:rsidTr="0057585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10880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13056</w:t>
            </w:r>
          </w:p>
        </w:tc>
      </w:tr>
      <w:tr w:rsidR="00356A5A" w:rsidRPr="00082B16" w:rsidTr="0057585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4-й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14352</w:t>
            </w:r>
          </w:p>
        </w:tc>
      </w:tr>
      <w:tr w:rsidR="00356A5A" w:rsidRPr="00082B16" w:rsidTr="0057585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5-й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Старшая медицинская сестра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13155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15786</w:t>
            </w:r>
          </w:p>
        </w:tc>
      </w:tr>
    </w:tbl>
    <w:p w:rsidR="00356A5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AA3444" w:rsidRDefault="00AA3444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Default="00356A5A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A344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Профессиональная квалификационная группа "Врачи и провизоры"</w:t>
      </w:r>
    </w:p>
    <w:p w:rsidR="00AA3444" w:rsidRPr="00AA3444" w:rsidRDefault="00AA3444" w:rsidP="0057585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1690"/>
        <w:gridCol w:w="1635"/>
        <w:gridCol w:w="1920"/>
      </w:tblGrid>
      <w:tr w:rsidR="00356A5A" w:rsidRPr="00FE2B0C" w:rsidTr="005E338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квалификационной категории, руб.</w:t>
            </w:r>
          </w:p>
        </w:tc>
      </w:tr>
      <w:tr w:rsidR="00356A5A" w:rsidRPr="00FE2B0C" w:rsidTr="005E338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Врачи-специалисты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17897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19524</w:t>
            </w:r>
          </w:p>
        </w:tc>
      </w:tr>
    </w:tbl>
    <w:p w:rsidR="00356A5A" w:rsidRPr="00841712" w:rsidRDefault="00356A5A" w:rsidP="000125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6A5A" w:rsidRDefault="00356A5A" w:rsidP="00AA3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Примерное положение  об оплате труда работников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подведомственных управлению образования Администрации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 виду экономической деятельности «Образование», утвержденном решением Представительного Собрания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17.02.2010 года  №34  «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учреждений, подведомственных управлению образования Администрации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     (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последующими изменениями и дополнениями</w:t>
      </w:r>
      <w:proofErr w:type="gram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A5A" w:rsidRPr="00841712" w:rsidRDefault="00356A5A" w:rsidP="00AA3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II</w:t>
        </w:r>
      </w:hyperlink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14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подразделе </w:t>
        </w:r>
      </w:hyperlink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пункта 3.1.,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абзацах </w:t>
        </w:r>
      </w:hyperlink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втором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hyperlink r:id="rId16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8517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словами "8855 рублей"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7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</w:t>
        </w:r>
      </w:hyperlink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6706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рубль", "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7434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и "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8170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соответственно словами "6975 рублей", "7732 рубля" и "8498 рублей";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CC523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.2</w:t>
        </w:r>
      </w:hyperlink>
      <w:r w:rsidRPr="00CC523D">
        <w:rPr>
          <w:lang w:eastAsia="ru-RU"/>
        </w:rPr>
        <w:t xml:space="preserve"> 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второ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"9668 рублей" заменить словами "10200 рублей";</w:t>
      </w:r>
      <w:proofErr w:type="gramEnd"/>
    </w:p>
    <w:p w:rsidR="00356A5A" w:rsidRPr="00356A5A" w:rsidRDefault="005E3380" w:rsidP="00AA34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56A5A" w:rsidRPr="00356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</w:t>
      </w:r>
      <w:r w:rsidR="00356A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6A5A" w:rsidRPr="00356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№1, Приложение №2, Приложение№3, Приложение№4, Приложение №5  изложить  в новой редакции (прилагаются).</w:t>
      </w:r>
    </w:p>
    <w:p w:rsidR="00E855AD" w:rsidRDefault="005E3380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2C53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AA34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5E3380" w:rsidP="00E855AD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35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N 1</w:t>
      </w:r>
    </w:p>
    <w:p w:rsidR="00356A5A" w:rsidRPr="003C76FC" w:rsidRDefault="00356A5A" w:rsidP="00012591">
      <w:pPr>
        <w:keepNext/>
        <w:keepLines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AA3444" w:rsidRDefault="00AA3444" w:rsidP="00E855AD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6A5A" w:rsidRDefault="00356A5A" w:rsidP="00E855AD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ПРОФЕССИОНАЛЬНЫЕ  КВАЛИФИКАЦИОННЫЕ ГРУППЫ ДОЛЖНОСТЕЙ РАБОТНИКОВ ОБРАЗОВАНИЯ</w:t>
      </w:r>
    </w:p>
    <w:p w:rsidR="00AA3444" w:rsidRDefault="00AA3444" w:rsidP="00E855AD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356A5A" w:rsidRPr="00AA3444" w:rsidRDefault="00356A5A" w:rsidP="00E855AD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  <w:br/>
      </w:r>
      <w:r w:rsidRPr="00AA3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AA3444" w:rsidRPr="00AA3444" w:rsidRDefault="00AA3444" w:rsidP="00E855AD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4216"/>
        <w:gridCol w:w="2329"/>
      </w:tblGrid>
      <w:tr w:rsidR="00356A5A" w:rsidRPr="001C3291" w:rsidTr="00012591">
        <w:trPr>
          <w:trHeight w:val="1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356A5A" w:rsidRPr="00FE2B0C" w:rsidTr="00012591"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012591"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E855AD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</w:tbl>
    <w:p w:rsidR="00356A5A" w:rsidRPr="003C76FC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Pr="00333AD4" w:rsidRDefault="00356A5A" w:rsidP="00E855A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A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4124"/>
        <w:gridCol w:w="2570"/>
      </w:tblGrid>
      <w:tr w:rsidR="00356A5A" w:rsidRPr="00FE2B0C" w:rsidTr="00F4260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  <w:tr w:rsidR="00356A5A" w:rsidRPr="00FE2B0C" w:rsidTr="00F4260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</w:tbl>
    <w:p w:rsidR="00356A5A" w:rsidRPr="003C76FC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</w:t>
      </w:r>
    </w:p>
    <w:p w:rsidR="00356A5A" w:rsidRPr="00E855AD" w:rsidRDefault="00E855AD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835"/>
        <w:gridCol w:w="1417"/>
        <w:gridCol w:w="1701"/>
        <w:gridCol w:w="1276"/>
      </w:tblGrid>
      <w:tr w:rsidR="00356A5A" w:rsidRPr="00E855AD" w:rsidTr="00E855AD">
        <w:trPr>
          <w:trHeight w:val="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AA3444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3C76FC" w:rsidTr="00E855A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(ставка),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</w:t>
            </w:r>
            <w:r w:rsidR="00E855AD">
              <w:rPr>
                <w:rFonts w:ascii="Times New Roman" w:eastAsia="Times New Roman" w:hAnsi="Times New Roman" w:cs="Times New Roman"/>
                <w:lang w:eastAsia="ru-RU"/>
              </w:rPr>
              <w:t>ионной категории (ставка), руб.</w:t>
            </w:r>
          </w:p>
          <w:p w:rsidR="002C5384" w:rsidRPr="002C5384" w:rsidRDefault="002C5384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3C76FC" w:rsidTr="00E855A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10768</w:t>
            </w:r>
          </w:p>
        </w:tc>
      </w:tr>
      <w:tr w:rsidR="00356A5A" w:rsidRPr="003C76FC" w:rsidTr="00E855A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  <w:p w:rsidR="00AA3444" w:rsidRPr="003C76FC" w:rsidRDefault="00AA3444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11555</w:t>
            </w:r>
          </w:p>
        </w:tc>
      </w:tr>
      <w:tr w:rsidR="00356A5A" w:rsidRPr="003C76FC" w:rsidTr="00E855A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3-й квалификационный уровень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11669</w:t>
            </w:r>
          </w:p>
        </w:tc>
      </w:tr>
      <w:tr w:rsidR="00356A5A" w:rsidRPr="003C76FC" w:rsidTr="00E855A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11786</w:t>
            </w:r>
          </w:p>
        </w:tc>
      </w:tr>
    </w:tbl>
    <w:p w:rsidR="00356A5A" w:rsidRPr="00333AD4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Pr="00AA3444" w:rsidRDefault="00356A5A" w:rsidP="00AA344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A3444">
        <w:rPr>
          <w:rFonts w:ascii="Times New Roman" w:eastAsia="Times New Roman" w:hAnsi="Times New Roman" w:cs="Times New Roman"/>
          <w:b/>
          <w:bCs/>
          <w:lang w:eastAsia="ru-RU"/>
        </w:rPr>
        <w:t>Профессиональная квалификационная группа должностей руководителей</w:t>
      </w:r>
    </w:p>
    <w:p w:rsidR="00356A5A" w:rsidRDefault="00356A5A" w:rsidP="00AA344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A3444">
        <w:rPr>
          <w:rFonts w:ascii="Times New Roman" w:eastAsia="Times New Roman" w:hAnsi="Times New Roman" w:cs="Times New Roman"/>
          <w:b/>
          <w:bCs/>
          <w:lang w:eastAsia="ru-RU"/>
        </w:rPr>
        <w:t>структурных подразделений</w:t>
      </w:r>
    </w:p>
    <w:p w:rsidR="002C5384" w:rsidRPr="002C5384" w:rsidRDefault="002C5384" w:rsidP="00AA344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AA3444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630"/>
        <w:gridCol w:w="2599"/>
      </w:tblGrid>
      <w:tr w:rsidR="00356A5A" w:rsidRPr="003C76FC" w:rsidTr="002C5384">
        <w:trPr>
          <w:trHeight w:val="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AA3444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AA3444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AA3444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56A5A" w:rsidRPr="003C76FC" w:rsidTr="002C5384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AA3444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</w:tc>
      </w:tr>
      <w:tr w:rsidR="00356A5A" w:rsidRPr="003C76FC" w:rsidTr="002C5384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12345</w:t>
            </w:r>
          </w:p>
        </w:tc>
      </w:tr>
      <w:tr w:rsidR="00356A5A" w:rsidRPr="003C76FC" w:rsidTr="002C5384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образования детей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12468</w:t>
            </w:r>
          </w:p>
        </w:tc>
      </w:tr>
      <w:tr w:rsidR="00356A5A" w:rsidRPr="003C76FC" w:rsidTr="002C5384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учреждения (подразделения) среднего профессионального образования</w:t>
            </w:r>
            <w:proofErr w:type="gramEnd"/>
          </w:p>
          <w:p w:rsidR="002C5384" w:rsidRDefault="002C5384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12587</w:t>
            </w:r>
          </w:p>
        </w:tc>
      </w:tr>
    </w:tbl>
    <w:p w:rsidR="00356A5A" w:rsidRPr="00AA3444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C5384" w:rsidRDefault="002C5384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56A5A" w:rsidRPr="002C5384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 Кроме должностей руководителей структурных подразделений, отнесенных ко 2-му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2C5384" w:rsidRDefault="00356A5A" w:rsidP="002C53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** Кроме должностей руководителей структурных подразделений, отнесенных к 3-му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356A5A" w:rsidRPr="00FE2B0C" w:rsidRDefault="002C5384" w:rsidP="00012591">
      <w:pPr>
        <w:spacing w:after="24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E8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N 2</w:t>
      </w:r>
    </w:p>
    <w:p w:rsidR="00356A5A" w:rsidRPr="00E855AD" w:rsidRDefault="00356A5A" w:rsidP="00E855A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55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Pr="00FE2B0C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</w:t>
      </w:r>
      <w:r w:rsidR="00E8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жности служащих первого уровня"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098"/>
        <w:gridCol w:w="1705"/>
      </w:tblGrid>
      <w:tr w:rsidR="00356A5A" w:rsidRPr="00FE2B0C" w:rsidTr="00AA3444">
        <w:trPr>
          <w:trHeight w:val="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AA3444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AA3444" w:rsidRDefault="00356A5A" w:rsidP="00AA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AA344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AA344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снабжению; делопроизводитель; калькулятор; кассир; комендант; машинистка; секретарь; секретарь-машинистка; счетовод; экспедитор</w:t>
            </w:r>
            <w:proofErr w:type="gram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  <w:tr w:rsidR="00356A5A" w:rsidRPr="00FE2B0C" w:rsidTr="00AA344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</w:tbl>
    <w:p w:rsidR="00356A5A" w:rsidRPr="00E855AD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Pr="00FE2B0C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</w:t>
      </w:r>
      <w:r w:rsidR="00E8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жности служащих второго уровня"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814"/>
        <w:gridCol w:w="1705"/>
      </w:tblGrid>
      <w:tr w:rsidR="00356A5A" w:rsidRPr="00FE2B0C" w:rsidTr="00AA3444">
        <w:trPr>
          <w:trHeight w:val="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E8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E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Администратор; диспетчер; инспектор по кадрам; лаборант; техник; художник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складом; заведующий хозяйством; руководитель группы инвентаризации строений и сооружений.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мастерской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</w:tbl>
    <w:p w:rsidR="00E855AD" w:rsidRDefault="00E855AD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AD" w:rsidRDefault="00E855AD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Профессиональная квалификационная группа</w:t>
      </w:r>
    </w:p>
    <w:p w:rsidR="00356A5A" w:rsidRPr="00333AD4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</w:t>
      </w:r>
      <w:r w:rsidR="00E8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служащих третьего уровня"</w:t>
      </w: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678"/>
        <w:gridCol w:w="2126"/>
      </w:tblGrid>
      <w:tr w:rsidR="00356A5A" w:rsidRPr="00FE2B0C" w:rsidTr="00AA3444">
        <w:trPr>
          <w:trHeight w:val="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бухгалтер-ревизор; инженер; инженер-программист; программист; специалист по кадрам; экономист; юрисконсульт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11251</w:t>
            </w:r>
          </w:p>
        </w:tc>
      </w:tr>
      <w:tr w:rsidR="00356A5A" w:rsidRPr="00FE2B0C" w:rsidTr="00AA3444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13315</w:t>
            </w:r>
          </w:p>
        </w:tc>
      </w:tr>
    </w:tbl>
    <w:p w:rsidR="00356A5A" w:rsidRPr="00B40616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служащих четвертого уровня"</w:t>
      </w:r>
    </w:p>
    <w:p w:rsidR="00356A5A" w:rsidRPr="00333AD4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5"/>
        <w:gridCol w:w="2126"/>
      </w:tblGrid>
      <w:tr w:rsidR="00356A5A" w:rsidRPr="00FE2B0C" w:rsidTr="00012591">
        <w:trPr>
          <w:trHeight w:val="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56A5A" w:rsidRPr="00FE2B0C" w:rsidTr="0001259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  <w:p w:rsidR="00AA3444" w:rsidRPr="00FE2B0C" w:rsidRDefault="00AA3444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A5A" w:rsidRPr="00FE2B0C" w:rsidTr="00012591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отдела; начальник финансового отдела; начальник юридического отдела</w:t>
            </w:r>
          </w:p>
          <w:p w:rsidR="00AA3444" w:rsidRPr="00FE2B0C" w:rsidRDefault="00AA3444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AA34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13315</w:t>
            </w:r>
          </w:p>
        </w:tc>
      </w:tr>
    </w:tbl>
    <w:p w:rsidR="005E3380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5E3380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E855AD" w:rsidRDefault="00E855AD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AD" w:rsidRDefault="00E855AD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384" w:rsidRDefault="002C5384" w:rsidP="00E855AD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356A5A" w:rsidP="00E855AD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3</w:t>
      </w:r>
    </w:p>
    <w:p w:rsidR="00356A5A" w:rsidRPr="00E855AD" w:rsidRDefault="00356A5A" w:rsidP="00E85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КВАЛИФИКАЦИОННЫЕ ГРУППЫ ОБЩЕОТРАСЛЕВЫХ ПРОФЕССИЙ РАБОЧИХ</w:t>
      </w:r>
    </w:p>
    <w:p w:rsidR="00356A5A" w:rsidRPr="00B40616" w:rsidRDefault="00356A5A" w:rsidP="00E85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E855AD" w:rsidRPr="00E855AD" w:rsidRDefault="00E855AD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первого уровня"</w:t>
      </w:r>
    </w:p>
    <w:p w:rsidR="00356A5A" w:rsidRPr="00E855AD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241"/>
        <w:gridCol w:w="1705"/>
      </w:tblGrid>
      <w:tr w:rsidR="00356A5A" w:rsidRPr="00E855AD" w:rsidTr="00E855AD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рабочих; гардеробщик; дворник; 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истопник; кастелянша; кладовщик;  повар</w:t>
            </w: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курьер; сторож (вахтер); уборщик производственных помещений; уборщик служебных помещений; уборщик территорий; оператор газовой котельной; машинист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отоплению ;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5499</w:t>
            </w: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</w:tbl>
    <w:p w:rsidR="00E855AD" w:rsidRPr="00A518BF" w:rsidRDefault="00E855AD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356A5A" w:rsidRDefault="00356A5A" w:rsidP="00E855A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Pr="002C5384" w:rsidRDefault="00356A5A" w:rsidP="002C538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второго уровня</w:t>
      </w:r>
      <w:r w:rsidR="002C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241"/>
        <w:gridCol w:w="1705"/>
      </w:tblGrid>
      <w:tr w:rsidR="00356A5A" w:rsidRPr="00FE2B0C" w:rsidTr="00E855AD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E855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855AD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9339</w:t>
            </w:r>
          </w:p>
        </w:tc>
      </w:tr>
      <w:tr w:rsidR="00356A5A" w:rsidRPr="00FE2B0C" w:rsidTr="00E855AD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E85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10256</w:t>
            </w:r>
          </w:p>
        </w:tc>
      </w:tr>
    </w:tbl>
    <w:p w:rsidR="00356A5A" w:rsidRPr="00FE2B0C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Должности в соответствии с профессиональными стандартами</w:t>
      </w: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2410"/>
      </w:tblGrid>
      <w:tr w:rsidR="00356A5A" w:rsidRPr="00FE2B0C" w:rsidTr="00012591">
        <w:trPr>
          <w:trHeight w:val="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</w:tr>
    </w:tbl>
    <w:p w:rsidR="002C5384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2C5384" w:rsidRDefault="002C538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384" w:rsidRDefault="002C538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384" w:rsidRDefault="002C538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384" w:rsidRDefault="002C538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356A5A" w:rsidP="002C5384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№4</w:t>
      </w:r>
    </w:p>
    <w:p w:rsidR="00356A5A" w:rsidRPr="00082B16" w:rsidRDefault="00356A5A" w:rsidP="002C5384">
      <w:pPr>
        <w:tabs>
          <w:tab w:val="left" w:pos="0"/>
        </w:tabs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ПРОФЕССИОНАЛЬНЫЕ КВАЛИФИКАЦИОННЫЕ ГРУППЫ ДОЛЖНОСТЕЙ РАБОТНИКОВ КУЛЬТУРЫ, ИСКУССТВА И КИНЕМАТОГРА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ФИИ</w:t>
      </w:r>
    </w:p>
    <w:tbl>
      <w:tblPr>
        <w:tblW w:w="97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686"/>
        <w:gridCol w:w="2693"/>
      </w:tblGrid>
      <w:tr w:rsidR="00356A5A" w:rsidRPr="00FE2B0C" w:rsidTr="00012591">
        <w:trPr>
          <w:trHeight w:val="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тистов вспомогательного состава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5791</w:t>
            </w: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 среднего звена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костюмерной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</w:t>
            </w: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 ведущего звена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</w:t>
            </w:r>
          </w:p>
        </w:tc>
      </w:tr>
      <w:tr w:rsidR="00356A5A" w:rsidRPr="00FE2B0C" w:rsidTr="00012591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руководящего состава учреждений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уры, искусства и кинематографии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(балетмейстер); звукорежиссер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</w:t>
            </w:r>
          </w:p>
        </w:tc>
      </w:tr>
    </w:tbl>
    <w:p w:rsidR="005E3380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5E3380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8BF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5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56A5A" w:rsidRDefault="006F1501" w:rsidP="00A518BF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356A5A"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№5</w:t>
      </w:r>
    </w:p>
    <w:p w:rsidR="00356A5A" w:rsidRPr="007F70DA" w:rsidRDefault="00356A5A" w:rsidP="00012591">
      <w:pPr>
        <w:spacing w:after="240" w:line="240" w:lineRule="auto"/>
        <w:ind w:left="5664" w:firstLine="708"/>
        <w:textAlignment w:val="baseline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356A5A" w:rsidRDefault="00356A5A" w:rsidP="00A518B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ПРОФЕССИОНАЛЬНЫЕ КВАЛИФИКАЦИОННЫЕ</w:t>
      </w:r>
    </w:p>
    <w:p w:rsidR="00356A5A" w:rsidRDefault="00356A5A" w:rsidP="00A518B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ГРУППЫ ДОЛЖНОСТЕЙ МЕДИЦИНСКИХ И</w:t>
      </w:r>
    </w:p>
    <w:p w:rsidR="00356A5A" w:rsidRDefault="00356A5A" w:rsidP="00A518B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ФАРМАЦЕВТИЧЕСКИХ РАБОТНИКОВ</w:t>
      </w:r>
    </w:p>
    <w:p w:rsidR="00356A5A" w:rsidRPr="007F70DA" w:rsidRDefault="00356A5A" w:rsidP="00A518B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082B16" w:rsidRDefault="00356A5A" w:rsidP="00A518B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</w:t>
      </w:r>
    </w:p>
    <w:p w:rsidR="00356A5A" w:rsidRPr="007F70DA" w:rsidRDefault="00356A5A" w:rsidP="00A518B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"Медицинский и фармацевтический персонал первого уровня"</w:t>
      </w: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tbl>
      <w:tblPr>
        <w:tblW w:w="9782" w:type="dxa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3626"/>
        <w:gridCol w:w="1843"/>
      </w:tblGrid>
      <w:tr w:rsidR="00356A5A" w:rsidRPr="00FE2B0C" w:rsidTr="006F1501"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6F1501"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7315</w:t>
            </w:r>
          </w:p>
        </w:tc>
      </w:tr>
    </w:tbl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082B16" w:rsidRDefault="00356A5A" w:rsidP="00A518B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</w:t>
      </w:r>
    </w:p>
    <w:p w:rsidR="00356A5A" w:rsidRPr="007F70DA" w:rsidRDefault="00356A5A" w:rsidP="00A518B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"Средний медицинский и фармацевтический персонал"</w:t>
      </w: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tbl>
      <w:tblPr>
        <w:tblW w:w="0" w:type="auto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30"/>
        <w:gridCol w:w="1063"/>
        <w:gridCol w:w="1696"/>
        <w:gridCol w:w="1561"/>
        <w:gridCol w:w="1846"/>
      </w:tblGrid>
      <w:tr w:rsidR="00356A5A" w:rsidRPr="00082B16" w:rsidTr="004A755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6F15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уровни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квалификационной категории, руб.</w:t>
            </w:r>
          </w:p>
        </w:tc>
      </w:tr>
      <w:tr w:rsidR="00356A5A" w:rsidRPr="00082B16" w:rsidTr="004A755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1-й </w:t>
            </w: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2C53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Инструктор по лечебной физкультуре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9648</w:t>
            </w:r>
          </w:p>
        </w:tc>
      </w:tr>
      <w:tr w:rsidR="00356A5A" w:rsidRPr="00082B16" w:rsidTr="004A755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2-й </w:t>
            </w: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2C53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диетическая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9910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11397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11892</w:t>
            </w:r>
          </w:p>
        </w:tc>
      </w:tr>
      <w:tr w:rsidR="00356A5A" w:rsidRPr="00082B16" w:rsidTr="004A755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3-й </w:t>
            </w: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2C53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10880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12512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13056</w:t>
            </w:r>
          </w:p>
        </w:tc>
      </w:tr>
      <w:tr w:rsidR="00356A5A" w:rsidRPr="00082B16" w:rsidTr="004A755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4-й </w:t>
            </w: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2C53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13156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14352</w:t>
            </w:r>
          </w:p>
        </w:tc>
      </w:tr>
      <w:tr w:rsidR="00356A5A" w:rsidRPr="00082B16" w:rsidTr="004A755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5-й </w:t>
            </w: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2C53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Старшая медицинская сестра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13155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14471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082B16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15786</w:t>
            </w:r>
          </w:p>
        </w:tc>
      </w:tr>
    </w:tbl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Default="00356A5A" w:rsidP="00A518B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квалификацио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нная группа "Врачи и провизоры"</w:t>
      </w:r>
    </w:p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0" w:type="auto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992"/>
        <w:gridCol w:w="1690"/>
        <w:gridCol w:w="1635"/>
        <w:gridCol w:w="1920"/>
      </w:tblGrid>
      <w:tr w:rsidR="00356A5A" w:rsidRPr="00FE2B0C" w:rsidTr="000A3200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6F15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6F15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 уровни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квалификационной категории, руб.</w:t>
            </w:r>
          </w:p>
        </w:tc>
      </w:tr>
      <w:tr w:rsidR="00356A5A" w:rsidRPr="00FE2B0C" w:rsidTr="000A3200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2-й </w:t>
            </w:r>
            <w:proofErr w:type="spellStart"/>
            <w:proofErr w:type="gramStart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квалификацион</w:t>
            </w:r>
            <w:r w:rsidR="002C53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Врачи-специалисты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17897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7F70DA" w:rsidRDefault="00356A5A" w:rsidP="002C53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19524</w:t>
            </w:r>
          </w:p>
        </w:tc>
      </w:tr>
    </w:tbl>
    <w:p w:rsidR="00B1714A" w:rsidRDefault="00B1714A" w:rsidP="00A518B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hi-IN" w:bidi="hi-IN"/>
        </w:rPr>
        <w:lastRenderedPageBreak/>
        <w:t>3.</w:t>
      </w:r>
      <w:r w:rsidRPr="00B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B1714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Примерное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положении об оплате труда работников  му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ниципальных казенных учреждений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подведомственных управлению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Курской области, по вид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ам экономической деятельности ««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Деятельность информационных агентств», «Подготовка кадров высшей квалификации», «Деятельность по оказанию услуг в области бухгалтерского учета»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 решением Представительного Собрания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17.02.2010 года  №34  «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учреждений, подведомственных</w:t>
      </w:r>
      <w:proofErr w:type="gramEnd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образования Администрации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  (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последующими измене</w:t>
      </w:r>
      <w:r w:rsidR="006F1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 дополнениями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14A" w:rsidRPr="00B1714A" w:rsidRDefault="00B1714A" w:rsidP="00A518B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</w:t>
      </w:r>
      <w:r w:rsidR="005E338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Приложения №№ 1,2,3 к примерному положению об оплате труда работников  му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ниципальных казенных учреждений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подведомственных управлению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Курской области,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 изложить в следующей редакции:</w:t>
      </w:r>
    </w:p>
    <w:p w:rsidR="00B1714A" w:rsidRPr="00B1714A" w:rsidRDefault="00B1714A" w:rsidP="00A518B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ПРИЛОЖЕНИЕ №1 к  Примерному положению об оплате труда работников муниципальных бюджетных и казенных учреждени</w:t>
      </w:r>
      <w:r w:rsidR="006F150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й, подведомственных управлению 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Курской области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</w:t>
      </w:r>
    </w:p>
    <w:p w:rsidR="006F1501" w:rsidRPr="006F1501" w:rsidRDefault="006F1501" w:rsidP="006F150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6F1501" w:rsidRDefault="00B1714A" w:rsidP="006F150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Профессиональные квалификационные группы должностей </w:t>
      </w:r>
      <w:r w:rsidR="006F15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работников образования</w:t>
      </w:r>
      <w:r w:rsidR="006F15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6F15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6F1501" w:rsidRPr="006F1501" w:rsidRDefault="006F1501" w:rsidP="006F150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1714A" w:rsidRPr="00B1714A" w:rsidRDefault="006F1501" w:rsidP="006F150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1714A"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должн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остей педагогических работников</w:t>
      </w:r>
    </w:p>
    <w:tbl>
      <w:tblPr>
        <w:tblW w:w="9445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5245"/>
        <w:gridCol w:w="1745"/>
      </w:tblGrid>
      <w:tr w:rsidR="00B1714A" w:rsidRPr="00B1714A" w:rsidTr="000A3200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 уровням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0A3200">
        <w:trPr>
          <w:jc w:val="center"/>
        </w:trPr>
        <w:tc>
          <w:tcPr>
            <w:tcW w:w="2455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5245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1745" w:type="dxa"/>
            <w:shd w:val="clear" w:color="auto" w:fill="auto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7033</w:t>
            </w:r>
          </w:p>
        </w:tc>
      </w:tr>
      <w:tr w:rsidR="00B1714A" w:rsidRPr="00B1714A" w:rsidTr="000A3200">
        <w:trPr>
          <w:jc w:val="center"/>
        </w:trPr>
        <w:tc>
          <w:tcPr>
            <w:tcW w:w="2455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квалификационный уровень</w:t>
            </w:r>
          </w:p>
        </w:tc>
        <w:tc>
          <w:tcPr>
            <w:tcW w:w="5245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методист</w:t>
            </w:r>
          </w:p>
        </w:tc>
        <w:tc>
          <w:tcPr>
            <w:tcW w:w="1745" w:type="dxa"/>
            <w:shd w:val="clear" w:color="auto" w:fill="auto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7101</w:t>
            </w:r>
          </w:p>
        </w:tc>
      </w:tr>
    </w:tbl>
    <w:p w:rsidR="00A518BF" w:rsidRPr="006F1501" w:rsidRDefault="00A518BF" w:rsidP="0001259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B1714A" w:rsidRPr="00B1714A" w:rsidRDefault="00B1714A" w:rsidP="0001259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ПРИЛОЖЕНИЕ №2 к  Примерному положению об оплате труда работников муниципальных бюджетных и казенных учреждений, подведомственных управлению 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Курской области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</w:t>
      </w:r>
    </w:p>
    <w:p w:rsidR="00A518BF" w:rsidRPr="004B76C8" w:rsidRDefault="00B1714A" w:rsidP="004B7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Профессиональные квалификационные группы общеотраслевых должностей руководителей, специалистов и служащих.</w:t>
      </w:r>
    </w:p>
    <w:p w:rsidR="00B1714A" w:rsidRPr="00B1714A" w:rsidRDefault="00B1714A" w:rsidP="00A518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95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961"/>
        <w:gridCol w:w="1843"/>
      </w:tblGrid>
      <w:tr w:rsidR="00B1714A" w:rsidRPr="00B1714A" w:rsidTr="00A518BF">
        <w:tc>
          <w:tcPr>
            <w:tcW w:w="2741" w:type="dxa"/>
            <w:shd w:val="clear" w:color="auto" w:fill="auto"/>
            <w:vAlign w:val="center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A518BF">
        <w:tc>
          <w:tcPr>
            <w:tcW w:w="2741" w:type="dxa"/>
            <w:shd w:val="clear" w:color="auto" w:fill="auto"/>
          </w:tcPr>
          <w:p w:rsidR="00B1714A" w:rsidRPr="004A755F" w:rsidRDefault="00A518BF" w:rsidP="004A75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Делопроизводитель;</w:t>
            </w:r>
            <w:r w:rsidR="004A755F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кассир; машинистка; паспортист; секретарь; секретарь - машинистка; экспедитор; агент по снабжению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1714A" w:rsidRPr="004A755F" w:rsidRDefault="00A94A49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5626</w:t>
            </w:r>
          </w:p>
        </w:tc>
      </w:tr>
      <w:tr w:rsidR="00B1714A" w:rsidRPr="00B1714A" w:rsidTr="00A518BF">
        <w:tc>
          <w:tcPr>
            <w:tcW w:w="2741" w:type="dxa"/>
            <w:shd w:val="clear" w:color="auto" w:fill="auto"/>
          </w:tcPr>
          <w:p w:rsidR="00B1714A" w:rsidRPr="004A755F" w:rsidRDefault="00A518BF" w:rsidP="004A75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43" w:type="dxa"/>
            <w:shd w:val="clear" w:color="auto" w:fill="auto"/>
          </w:tcPr>
          <w:p w:rsidR="00B1714A" w:rsidRPr="004A755F" w:rsidRDefault="00A94A49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6189</w:t>
            </w:r>
          </w:p>
        </w:tc>
      </w:tr>
    </w:tbl>
    <w:p w:rsidR="00B1714A" w:rsidRPr="004B76C8" w:rsidRDefault="00B1714A" w:rsidP="00A518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B76C8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br/>
      </w:r>
      <w:r w:rsidRPr="004B76C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Должности в соответствии с профессиональными стандартами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1820"/>
      </w:tblGrid>
      <w:tr w:rsidR="00B1714A" w:rsidRPr="00B1714A" w:rsidTr="00A518BF">
        <w:trPr>
          <w:trHeight w:val="15"/>
        </w:trPr>
        <w:tc>
          <w:tcPr>
            <w:tcW w:w="3261" w:type="dxa"/>
            <w:hideMark/>
          </w:tcPr>
          <w:p w:rsidR="00B1714A" w:rsidRPr="004B76C8" w:rsidRDefault="00B1714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hideMark/>
          </w:tcPr>
          <w:p w:rsidR="00B1714A" w:rsidRPr="004B76C8" w:rsidRDefault="00B1714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hideMark/>
          </w:tcPr>
          <w:p w:rsidR="00B1714A" w:rsidRPr="004B76C8" w:rsidRDefault="00B1714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714A" w:rsidRPr="00B1714A" w:rsidTr="00A518B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6F15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B1714A" w:rsidRPr="00B1714A" w:rsidTr="00A518B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A518BF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6-й</w:t>
            </w:r>
            <w:r w:rsidR="00B1714A"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A94A49" w:rsidP="006F15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7909</w:t>
            </w:r>
          </w:p>
        </w:tc>
      </w:tr>
      <w:tr w:rsidR="00B1714A" w:rsidRPr="00B1714A" w:rsidTr="00A518B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A518BF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6-й </w:t>
            </w:r>
            <w:r w:rsidR="00B1714A"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A94A49" w:rsidP="006F15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7909</w:t>
            </w:r>
          </w:p>
        </w:tc>
      </w:tr>
    </w:tbl>
    <w:p w:rsidR="00B1714A" w:rsidRPr="00B1714A" w:rsidRDefault="00B1714A" w:rsidP="00A518B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94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5103"/>
        <w:gridCol w:w="1743"/>
      </w:tblGrid>
      <w:tr w:rsidR="00B1714A" w:rsidRPr="004A755F" w:rsidTr="00A518BF">
        <w:trPr>
          <w:tblHeader/>
        </w:trPr>
        <w:tc>
          <w:tcPr>
            <w:tcW w:w="2599" w:type="dxa"/>
            <w:shd w:val="clear" w:color="auto" w:fill="auto"/>
            <w:vAlign w:val="center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1714A" w:rsidRPr="004A755F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4A755F" w:rsidTr="00A518BF">
        <w:tc>
          <w:tcPr>
            <w:tcW w:w="2599" w:type="dxa"/>
            <w:shd w:val="clear" w:color="auto" w:fill="auto"/>
          </w:tcPr>
          <w:p w:rsidR="00B1714A" w:rsidRPr="004A755F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5103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Администратор; инспектор по кадрам; техник; </w:t>
            </w:r>
          </w:p>
        </w:tc>
        <w:tc>
          <w:tcPr>
            <w:tcW w:w="1743" w:type="dxa"/>
            <w:shd w:val="clear" w:color="auto" w:fill="auto"/>
          </w:tcPr>
          <w:p w:rsidR="00B1714A" w:rsidRPr="004A755F" w:rsidRDefault="00A94A49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5626</w:t>
            </w:r>
          </w:p>
        </w:tc>
      </w:tr>
      <w:tr w:rsidR="00B1714A" w:rsidRPr="004A755F" w:rsidTr="004B76C8">
        <w:trPr>
          <w:trHeight w:val="3217"/>
        </w:trPr>
        <w:tc>
          <w:tcPr>
            <w:tcW w:w="2599" w:type="dxa"/>
            <w:shd w:val="clear" w:color="auto" w:fill="auto"/>
          </w:tcPr>
          <w:p w:rsidR="00B1714A" w:rsidRPr="004A755F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5103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Заведующий канцелярией; заведующий складом; заведующий хозяйством; руководитель группы инвентаризации строений и сооружений. </w:t>
            </w:r>
          </w:p>
          <w:p w:rsidR="00B1714A" w:rsidRPr="004A755F" w:rsidRDefault="00B1714A" w:rsidP="00012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Должности служащих первого квалификационного уровня, по которым устанавливается производное должностное наименование "старший".</w:t>
            </w:r>
            <w:r w:rsidR="00A518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B1714A" w:rsidRPr="004A755F" w:rsidRDefault="00B1714A" w:rsidP="00012591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устанавливается II внутри должностная категория</w:t>
            </w:r>
          </w:p>
        </w:tc>
        <w:tc>
          <w:tcPr>
            <w:tcW w:w="1743" w:type="dxa"/>
            <w:shd w:val="clear" w:color="auto" w:fill="auto"/>
          </w:tcPr>
          <w:p w:rsidR="00B1714A" w:rsidRPr="004A755F" w:rsidRDefault="00A94A49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5851</w:t>
            </w:r>
          </w:p>
        </w:tc>
      </w:tr>
      <w:tr w:rsidR="00B1714A" w:rsidRPr="00B1714A" w:rsidTr="004B76C8">
        <w:trPr>
          <w:trHeight w:val="280"/>
        </w:trPr>
        <w:tc>
          <w:tcPr>
            <w:tcW w:w="2599" w:type="dxa"/>
            <w:shd w:val="clear" w:color="auto" w:fill="auto"/>
          </w:tcPr>
          <w:p w:rsidR="00B1714A" w:rsidRPr="004A755F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5103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хозяйственного отдела.</w:t>
            </w:r>
          </w:p>
          <w:p w:rsidR="00B1714A" w:rsidRPr="004A755F" w:rsidRDefault="00B1714A" w:rsidP="00012591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Должности служащих первого квалификационного уровня, по которым устанавливается I внутри должностная категория</w:t>
            </w:r>
          </w:p>
        </w:tc>
        <w:tc>
          <w:tcPr>
            <w:tcW w:w="1743" w:type="dxa"/>
            <w:shd w:val="clear" w:color="auto" w:fill="auto"/>
          </w:tcPr>
          <w:p w:rsidR="00B1714A" w:rsidRPr="004A755F" w:rsidRDefault="00A94A49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5909</w:t>
            </w:r>
          </w:p>
        </w:tc>
      </w:tr>
      <w:tr w:rsidR="00B1714A" w:rsidRPr="00B1714A" w:rsidTr="004B76C8">
        <w:trPr>
          <w:trHeight w:val="699"/>
        </w:trPr>
        <w:tc>
          <w:tcPr>
            <w:tcW w:w="2599" w:type="dxa"/>
            <w:shd w:val="clear" w:color="auto" w:fill="auto"/>
          </w:tcPr>
          <w:p w:rsidR="00B1714A" w:rsidRPr="004A755F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 квалификацио</w:t>
            </w:r>
            <w:r w:rsid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уровень</w:t>
            </w:r>
          </w:p>
        </w:tc>
        <w:tc>
          <w:tcPr>
            <w:tcW w:w="5103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43" w:type="dxa"/>
            <w:shd w:val="clear" w:color="auto" w:fill="auto"/>
          </w:tcPr>
          <w:p w:rsidR="00B1714A" w:rsidRPr="004A755F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5968</w:t>
            </w:r>
          </w:p>
        </w:tc>
      </w:tr>
      <w:tr w:rsidR="00B1714A" w:rsidRPr="00B1714A" w:rsidTr="00A518BF">
        <w:tc>
          <w:tcPr>
            <w:tcW w:w="2599" w:type="dxa"/>
            <w:shd w:val="clear" w:color="auto" w:fill="auto"/>
          </w:tcPr>
          <w:p w:rsidR="00B1714A" w:rsidRPr="004A755F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квалификационный уровень</w:t>
            </w:r>
          </w:p>
        </w:tc>
        <w:tc>
          <w:tcPr>
            <w:tcW w:w="5103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гаража;  начальник (заведующий) мастерской</w:t>
            </w:r>
          </w:p>
        </w:tc>
        <w:tc>
          <w:tcPr>
            <w:tcW w:w="1743" w:type="dxa"/>
            <w:shd w:val="clear" w:color="auto" w:fill="auto"/>
          </w:tcPr>
          <w:p w:rsidR="00B1714A" w:rsidRPr="004A755F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6028</w:t>
            </w:r>
          </w:p>
        </w:tc>
      </w:tr>
    </w:tbl>
    <w:p w:rsidR="00B1714A" w:rsidRPr="00B1714A" w:rsidRDefault="00B1714A" w:rsidP="006F150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W w:w="9445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5387"/>
        <w:gridCol w:w="1601"/>
      </w:tblGrid>
      <w:tr w:rsidR="00B1714A" w:rsidRPr="00B1714A" w:rsidTr="004B76C8">
        <w:trPr>
          <w:tblHeader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4B76C8">
        <w:trPr>
          <w:trHeight w:val="110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Аналитик; бухгалтер; бухгалтер-ревизор; инженер по охране труда и технике безопасности; специалист по кадрам; экономист; юрисконсульт, программист.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6975</w:t>
            </w:r>
          </w:p>
        </w:tc>
      </w:tr>
      <w:tr w:rsidR="00B1714A" w:rsidRPr="00B1714A" w:rsidTr="004B76C8">
        <w:trPr>
          <w:trHeight w:val="67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4B76C8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Должности служащих первого </w:t>
            </w:r>
            <w:r w:rsidR="00B1714A"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квалификационного уровня, по которым может устанавливаться   II внутри должностная категория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7044</w:t>
            </w:r>
          </w:p>
        </w:tc>
      </w:tr>
      <w:tr w:rsidR="00B1714A" w:rsidRPr="00B1714A" w:rsidTr="004B76C8">
        <w:trPr>
          <w:trHeight w:val="100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                         I внутри должностная категория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7115</w:t>
            </w:r>
          </w:p>
        </w:tc>
      </w:tr>
      <w:tr w:rsidR="00B1714A" w:rsidRPr="00B1714A" w:rsidTr="004B76C8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7186</w:t>
            </w:r>
          </w:p>
        </w:tc>
      </w:tr>
      <w:tr w:rsidR="00B1714A" w:rsidRPr="00B1714A" w:rsidTr="004B76C8">
        <w:trPr>
          <w:trHeight w:val="89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7258</w:t>
            </w:r>
          </w:p>
        </w:tc>
      </w:tr>
    </w:tbl>
    <w:p w:rsidR="004B76C8" w:rsidRPr="004B76C8" w:rsidRDefault="00B1714A" w:rsidP="004B76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</w:p>
    <w:p w:rsidR="00B1714A" w:rsidRPr="00B1714A" w:rsidRDefault="00B1714A" w:rsidP="004B7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961"/>
        <w:gridCol w:w="1743"/>
      </w:tblGrid>
      <w:tr w:rsidR="00B1714A" w:rsidRPr="00B1714A" w:rsidTr="00B1714A">
        <w:tc>
          <w:tcPr>
            <w:tcW w:w="2741" w:type="dxa"/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1714A" w:rsidRPr="00AF204E" w:rsidRDefault="00B1714A" w:rsidP="004B7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4B76C8">
        <w:trPr>
          <w:trHeight w:val="1020"/>
        </w:trPr>
        <w:tc>
          <w:tcPr>
            <w:tcW w:w="2741" w:type="dxa"/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B1714A" w:rsidRPr="00AF204E" w:rsidRDefault="00B1714A" w:rsidP="00012591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1743" w:type="dxa"/>
            <w:shd w:val="clear" w:color="auto" w:fill="auto"/>
          </w:tcPr>
          <w:p w:rsidR="00B1714A" w:rsidRPr="00AF204E" w:rsidRDefault="00A94A49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7330</w:t>
            </w:r>
          </w:p>
        </w:tc>
      </w:tr>
    </w:tbl>
    <w:p w:rsidR="00B1714A" w:rsidRPr="00B1714A" w:rsidRDefault="00B1714A" w:rsidP="00A518B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ПРИЛОЖЕНИЕ №3 к  Примерному положению об оплате труда работников муниципальных бюджетных и казенных учреждений, подведомственных управлению 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Курской области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</w:t>
      </w:r>
    </w:p>
    <w:p w:rsidR="00B1714A" w:rsidRPr="00B1714A" w:rsidRDefault="00B1714A" w:rsidP="00A518B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Профессиональные квалификационные группы общеотраслевых профессий рабочих.</w:t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Профессиональная квалификационная группа "Общеотраслевые профессии рабочих первого уровня</w:t>
      </w:r>
      <w:r w:rsidRPr="00B1714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</w:p>
    <w:tbl>
      <w:tblPr>
        <w:tblW w:w="9445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5387"/>
        <w:gridCol w:w="1601"/>
      </w:tblGrid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рабочих, отнесенные к квалификационным уровням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571C7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</w:t>
            </w:r>
            <w:bookmarkStart w:id="2" w:name="_GoBack"/>
            <w:bookmarkEnd w:id="2"/>
            <w:r w:rsidR="00B1714A"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0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Наименования профессий рабочих, по которым предусмотрено присвоение 1, 2 и 3 квалификационных  разрядов в соответствии с Единым тарифно-квалификационным справочником работ и профессий рабочих; гардеробщик; дворник;  истопник; кастелянша; кладовщик; курьер; садовник; сторож (вахтер); уборщик производственных помещений; уборщик служебных помещений; уборщик территорий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B57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4949</w:t>
            </w:r>
          </w:p>
        </w:tc>
      </w:tr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B571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4998</w:t>
            </w:r>
          </w:p>
        </w:tc>
      </w:tr>
    </w:tbl>
    <w:p w:rsidR="00B1714A" w:rsidRPr="00B1714A" w:rsidRDefault="00B1714A" w:rsidP="00A518B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9445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5245"/>
        <w:gridCol w:w="1743"/>
      </w:tblGrid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рабочих, отнесенные к квалификационным уровням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6F15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5047</w:t>
            </w:r>
          </w:p>
        </w:tc>
      </w:tr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5098</w:t>
            </w:r>
          </w:p>
        </w:tc>
      </w:tr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5149</w:t>
            </w:r>
          </w:p>
        </w:tc>
      </w:tr>
      <w:tr w:rsidR="00B1714A" w:rsidRPr="00B1714A" w:rsidTr="00A518B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6F1501" w:rsidRPr="00AF204E" w:rsidRDefault="006F1501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A518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</w:t>
            </w:r>
          </w:p>
        </w:tc>
      </w:tr>
    </w:tbl>
    <w:p w:rsidR="00B1714A" w:rsidRPr="00B1714A" w:rsidRDefault="00B1714A" w:rsidP="0001259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sectPr w:rsidR="00AF204E" w:rsidSect="0062602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6E"/>
    <w:rsid w:val="00012591"/>
    <w:rsid w:val="00045299"/>
    <w:rsid w:val="0005187E"/>
    <w:rsid w:val="000A3200"/>
    <w:rsid w:val="000B0E6E"/>
    <w:rsid w:val="00163B23"/>
    <w:rsid w:val="001F62C1"/>
    <w:rsid w:val="002210D8"/>
    <w:rsid w:val="002C5384"/>
    <w:rsid w:val="0031413E"/>
    <w:rsid w:val="00356A5A"/>
    <w:rsid w:val="003738ED"/>
    <w:rsid w:val="004943D2"/>
    <w:rsid w:val="004A755F"/>
    <w:rsid w:val="004B76C8"/>
    <w:rsid w:val="005114E6"/>
    <w:rsid w:val="0057585F"/>
    <w:rsid w:val="005E3380"/>
    <w:rsid w:val="0062602B"/>
    <w:rsid w:val="006F1501"/>
    <w:rsid w:val="00790DC7"/>
    <w:rsid w:val="00791C75"/>
    <w:rsid w:val="0082493B"/>
    <w:rsid w:val="00841712"/>
    <w:rsid w:val="00927E9F"/>
    <w:rsid w:val="00A518BF"/>
    <w:rsid w:val="00A94A49"/>
    <w:rsid w:val="00AA3444"/>
    <w:rsid w:val="00AF204E"/>
    <w:rsid w:val="00B000EC"/>
    <w:rsid w:val="00B1714A"/>
    <w:rsid w:val="00B571C7"/>
    <w:rsid w:val="00BA1348"/>
    <w:rsid w:val="00CC523D"/>
    <w:rsid w:val="00E725CC"/>
    <w:rsid w:val="00E855AD"/>
    <w:rsid w:val="00EA4995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4117&amp;date=20.07.2023&amp;dst=100682&amp;field=134" TargetMode="External"/><Relationship Id="rId13" Type="http://schemas.openxmlformats.org/officeDocument/2006/relationships/hyperlink" Target="https://login.consultant.ru/link/?req=doc&amp;base=RLAW417&amp;n=104117&amp;date=20.07.2023&amp;dst=100658&amp;field=134" TargetMode="External"/><Relationship Id="rId18" Type="http://schemas.openxmlformats.org/officeDocument/2006/relationships/hyperlink" Target="https://login.consultant.ru/link/?req=doc&amp;base=RLAW417&amp;n=111230&amp;date=20.07.2023&amp;dst=105076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17&amp;n=104117&amp;date=20.07.2023&amp;dst=100658&amp;field=134" TargetMode="External"/><Relationship Id="rId12" Type="http://schemas.openxmlformats.org/officeDocument/2006/relationships/hyperlink" Target="https://login.consultant.ru/link/?req=doc&amp;base=RLAW417&amp;n=111230&amp;date=20.07.2023&amp;dst=105076&amp;field=134" TargetMode="External"/><Relationship Id="rId17" Type="http://schemas.openxmlformats.org/officeDocument/2006/relationships/hyperlink" Target="https://login.consultant.ru/link/?req=doc&amp;base=RLAW417&amp;n=104117&amp;date=20.07.2023&amp;dst=103229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17&amp;n=104117&amp;date=20.07.2023&amp;dst=101549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417&amp;n=104117&amp;date=20.07.2023&amp;dst=10322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17&amp;n=104117&amp;date=20.07.2023&amp;dst=101965&amp;field=134" TargetMode="External"/><Relationship Id="rId10" Type="http://schemas.openxmlformats.org/officeDocument/2006/relationships/hyperlink" Target="https://login.consultant.ru/link/?req=doc&amp;base=RLAW417&amp;n=104117&amp;date=20.07.2023&amp;dst=101549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104117&amp;date=20.07.2023&amp;dst=101965&amp;field=134" TargetMode="External"/><Relationship Id="rId14" Type="http://schemas.openxmlformats.org/officeDocument/2006/relationships/hyperlink" Target="https://login.consultant.ru/link/?req=doc&amp;base=RLAW417&amp;n=104117&amp;date=20.07.2023&amp;dst=1006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E3BB-F5A0-43BE-9DCC-AE9BB135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3</cp:revision>
  <cp:lastPrinted>2023-07-28T12:16:00Z</cp:lastPrinted>
  <dcterms:created xsi:type="dcterms:W3CDTF">2023-08-03T11:29:00Z</dcterms:created>
  <dcterms:modified xsi:type="dcterms:W3CDTF">2023-08-04T09:53:00Z</dcterms:modified>
</cp:coreProperties>
</file>